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淮南市应急管理局2023年政府信息公开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报告依据《中华人民共和国政府信息公开条例》（国务院令第711号，以下简称《条例》）、《国务院办公厅政府信息与政务公开办公室关于印发〈中华人民共和国政府信息公开工作年度报告格式〉的通知》（国办公开办函〔2021〕30号）及《安徽省政务公开办公室关于做好2023年政府信息公开工作年度报告编制和数据报送工作的通知》（皖政务办秘〔2024〕2号）要求编制。全文包括总体情况、主动公开政府信息情况、收到和处理政府信息公开申请情况、政府信息公开行政复议和行政诉讼情况、存在的主要问题及改进情况、其他需要报告的事项。本年度报告中使用数据统计期限为 2023年1月1日至 12月31日。报告的电子版可在淮南市人民政府网（http://www.huainan.gov.cn/）下载。如对本报告有任何疑问，请与淮南市政务公开办公室联系（地址：淮南市高新技术开发区（山南新区）民裕东街89号民安大厦，电话：0554-6645964，邮编：232001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是应急管理三年行动的的收官之年，市应急管理局在强化安全生产和防灾减灾救灾的同时，高度重视政府信息公开工作，认真贯彻执行《淮南市应急管理局2023年政务公开重点工作任务分工》，加强政务公开政策宣传，积极主动回应社会关切，提高政务公开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强化重点领域信息公开。根据省厅要求修改重点领域信息公开栏目，将重点领域信息公开分为安全生产和救灾两大板块，按照新的格式范例规范发布政务公开信息、清理失效、不规范信息，2023年，安全生产栏目共发布65条信息，救灾栏目共发布23条信息，更好地向社会公众展示安全生产和自然灾害防御工作。二是做好基础信息发布。2023年全年主动公开信息432余条，举办新闻发布会4次，主动回应社会关切15次，及时做好三公经费预决算公开，及时做好行政运行结果公示，上传行政许可51项，行政处罚26项，未产生行政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依照相关法律法规做好依申请公开工作，完善依申请办理流程，规范依申请答复格式，本年度共收到依申请公开1件，已按照相关要求公开。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本年度制作规范性文件0件，废止规范性文件3件，现行有效行政规范性文件3件。本机关所有信息发布均遵循“三审制”，有科室人员起草，科室长审核，分管领导签发。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省政务公开办及省应急管理厅要求，及时调整重点领域栏目，现设置安全生产和救灾两个重点领域公开栏，安全生产下设隐患管理、应急管理、信用管理、事故通报、业务工作、安全生产预警提示信息、检查和巡查发现安全监管监察问题七个类别，救灾栏目下设备灾管理、灾后救助、款物管理三个类别，最大程度做好重点领域信息公开。深化政务新媒体等信息发布平台建设，不断拓宽公开覆盖面，依托抖音等新媒体平台，拓宽信息公开渠道，把握重要节点，推动社情民意良性互动。202</w:t>
      </w:r>
      <w:r>
        <w:rPr>
          <w:rFonts w:hint="eastAsia" w:eastAsia="方正仿宋_GBK" w:cs="Times New Roman"/>
          <w:sz w:val="32"/>
          <w:szCs w:val="32"/>
          <w:lang w:val="en-US" w:eastAsia="zh-CN"/>
        </w:rPr>
        <w:t>3</w:t>
      </w:r>
      <w:bookmarkStart w:id="2" w:name="_GoBack"/>
      <w:bookmarkEnd w:id="2"/>
      <w:r>
        <w:rPr>
          <w:rFonts w:hint="default" w:ascii="Times New Roman" w:hAnsi="Times New Roman" w:eastAsia="方正仿宋_GBK" w:cs="Times New Roman"/>
          <w:sz w:val="32"/>
          <w:szCs w:val="32"/>
          <w:lang w:val="en-US" w:eastAsia="zh-CN"/>
        </w:rPr>
        <w:t>年抖音累计发布视频100余条，粉丝量2.5万，获赞40.2余万。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 w:eastAsia="zh-CN"/>
        </w:rPr>
        <w:t>（五）</w:t>
      </w:r>
      <w:r>
        <w:rPr>
          <w:rFonts w:hint="default" w:ascii="Times New Roman" w:hAnsi="Times New Roman" w:eastAsia="方正楷体_GBK" w:cs="Times New Roman"/>
          <w:sz w:val="32"/>
          <w:szCs w:val="32"/>
          <w:lang w:val="en-US" w:eastAsia="zh-CN"/>
        </w:rPr>
        <w:t>监督保障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应急局成立由分管领导牵头，办公室负责，专职人员全权负责的工作机制。完善信息制作和审核发布流程，采用严格的审批手续，充分保障对外发布信息的准确性。定期召开政务公开培训会，对市政府的开展的第三方测评及时整改，确保信息准确及时。依据《关于开展安全生产和救灾领域基层政务公开标准化规范化专项评估工作的通知》，对相关部门定期调度，每月考核，强化相关业务人员培训学习，提高政务公开能力。本年度未开展社会评议，无政府信息公开责任追究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二、主动公开政府信息情况</w:t>
      </w:r>
    </w:p>
    <w:tbl>
      <w:tblPr>
        <w:tblStyle w:val="6"/>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bookmarkStart w:id="0" w:name="OLE_LINK5"/>
            <w:r>
              <w:rPr>
                <w:rFonts w:ascii="Times New Roman" w:hAnsi="宋体" w:eastAsia="宋体" w:cs="Times New Roman"/>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w:t>
            </w:r>
            <w:r>
              <w:rPr>
                <w:rFonts w:ascii="Times New Roman" w:hAnsi="宋体" w:eastAsia="宋体" w:cs="Times New Roman"/>
                <w:kern w:val="0"/>
                <w:sz w:val="20"/>
                <w:szCs w:val="20"/>
                <w:lang w:bidi="ar"/>
              </w:rPr>
              <w:t>制发件数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本年废止件数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现行有效件</w:t>
            </w:r>
            <w:r>
              <w:rPr>
                <w:rFonts w:ascii="Times New Roman" w:hAnsi="宋体" w:eastAsia="宋体" w:cs="Times New Roman"/>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规章</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行政规范性文件</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val="en-US" w:eastAsia="zh-CN" w:bidi="ar"/>
              </w:rPr>
              <w:t>3</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行政许可</w:t>
            </w:r>
          </w:p>
        </w:tc>
        <w:tc>
          <w:tcPr>
            <w:tcW w:w="6075" w:type="dxa"/>
            <w:gridSpan w:val="3"/>
            <w:noWrap w:val="0"/>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eastAsia" w:ascii="Times New Roman" w:hAnsi="Times New Roman" w:eastAsia="宋体" w:cs="Times New Roman"/>
                <w:sz w:val="20"/>
                <w:szCs w:val="20"/>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color w:val="auto"/>
                <w:sz w:val="20"/>
                <w:szCs w:val="20"/>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rPr>
            </w:pPr>
            <w:r>
              <w:rPr>
                <w:rFonts w:hint="eastAsia"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行政事业性收费</w:t>
            </w:r>
          </w:p>
        </w:tc>
        <w:tc>
          <w:tcPr>
            <w:tcW w:w="6075" w:type="dxa"/>
            <w:gridSpan w:val="3"/>
            <w:noWrap w:val="0"/>
            <w:tcMar>
              <w:left w:w="57" w:type="dxa"/>
              <w:right w:w="57" w:type="dxa"/>
            </w:tcMar>
            <w:vAlign w:val="center"/>
          </w:tcPr>
          <w:p>
            <w:pPr>
              <w:spacing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78.29</w:t>
            </w:r>
          </w:p>
        </w:tc>
      </w:tr>
      <w:bookmarkEnd w:id="0"/>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三、收到和处理政府信息公开申请情况</w:t>
      </w:r>
    </w:p>
    <w:tbl>
      <w:tblPr>
        <w:tblStyle w:val="6"/>
        <w:tblpPr w:leftFromText="180" w:rightFromText="180" w:vertAnchor="text" w:horzAnchor="page" w:tblpXSpec="center" w:tblpY="292"/>
        <w:tblOverlap w:val="never"/>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widowControl/>
              <w:jc w:val="left"/>
              <w:rPr>
                <w:rFonts w:ascii="Times New Roman" w:hAnsi="Times New Roman" w:eastAsia="宋体" w:cs="Times New Roman"/>
              </w:rPr>
            </w:pPr>
            <w:bookmarkStart w:id="1" w:name="OLE_LINK7"/>
            <w:r>
              <w:rPr>
                <w:rFonts w:ascii="Times New Roman" w:hAnsi="楷体" w:eastAsia="楷体" w:cs="Times New Roman"/>
                <w:kern w:val="0"/>
                <w:sz w:val="20"/>
                <w:szCs w:val="20"/>
                <w:lang w:bidi="ar"/>
              </w:rPr>
              <w:t>（本列数据的勾稽关系为：第一项加第二项之和，等于第三项加第四项之和）</w:t>
            </w:r>
          </w:p>
        </w:tc>
        <w:tc>
          <w:tcPr>
            <w:tcW w:w="4140" w:type="dxa"/>
            <w:gridSpan w:val="7"/>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自然人</w:t>
            </w:r>
          </w:p>
        </w:tc>
        <w:tc>
          <w:tcPr>
            <w:tcW w:w="2957" w:type="dxa"/>
            <w:gridSpan w:val="5"/>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法人或其他组织</w:t>
            </w:r>
          </w:p>
        </w:tc>
        <w:tc>
          <w:tcPr>
            <w:tcW w:w="592"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continue"/>
            <w:noWrap w:val="0"/>
            <w:tcMar>
              <w:left w:w="57" w:type="dxa"/>
              <w:right w:w="57" w:type="dxa"/>
            </w:tcMar>
            <w:vAlign w:val="center"/>
          </w:tcPr>
          <w:p>
            <w:pPr>
              <w:rPr>
                <w:rFonts w:ascii="Times New Roman" w:hAnsi="Times New Roman" w:eastAsia="宋体" w:cs="Times New Roman"/>
                <w:sz w:val="24"/>
              </w:rPr>
            </w:pP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商业</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企业</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科研</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机构</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社会公益组织</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法律服务机构</w:t>
            </w:r>
          </w:p>
        </w:tc>
        <w:tc>
          <w:tcPr>
            <w:tcW w:w="593"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其他</w:t>
            </w:r>
          </w:p>
        </w:tc>
        <w:tc>
          <w:tcPr>
            <w:tcW w:w="592" w:type="dxa"/>
            <w:vMerge w:val="continue"/>
            <w:noWrap w:val="0"/>
            <w:tcMar>
              <w:left w:w="57" w:type="dxa"/>
              <w:right w:w="57" w:type="dxa"/>
            </w:tcMar>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一、本年新收政府信息公开申请数量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1</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二、上年结转政府信息公开申请数量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三、本年度办理结果</w:t>
            </w: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（一）予以公开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1</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（二）部分公开</w:t>
            </w:r>
            <w:r>
              <w:rPr>
                <w:rFonts w:ascii="Times New Roman" w:hAnsi="楷体" w:eastAsia="楷体" w:cs="Times New Roman"/>
                <w:kern w:val="0"/>
                <w:sz w:val="20"/>
                <w:szCs w:val="20"/>
                <w:lang w:bidi="ar"/>
              </w:rPr>
              <w:t>（区分处理的，只计这一情形，不计其他情形）</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（三）不予公开</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w:t>
            </w:r>
            <w:r>
              <w:rPr>
                <w:rFonts w:ascii="Times New Roman" w:hAnsi="宋体" w:eastAsia="宋体" w:cs="Times New Roman"/>
                <w:kern w:val="0"/>
                <w:sz w:val="20"/>
                <w:szCs w:val="20"/>
                <w:lang w:bidi="ar"/>
              </w:rPr>
              <w:t>属于国家秘密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w:t>
            </w:r>
            <w:r>
              <w:rPr>
                <w:rFonts w:ascii="Times New Roman" w:hAnsi="宋体" w:eastAsia="宋体" w:cs="Times New Roman"/>
                <w:kern w:val="0"/>
                <w:sz w:val="20"/>
                <w:szCs w:val="20"/>
                <w:lang w:bidi="ar"/>
              </w:rPr>
              <w:t>其他法律行政法规禁止公开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w:t>
            </w:r>
            <w:r>
              <w:rPr>
                <w:rFonts w:ascii="Times New Roman" w:hAnsi="宋体" w:eastAsia="宋体" w:cs="Times New Roman"/>
                <w:kern w:val="0"/>
                <w:sz w:val="20"/>
                <w:szCs w:val="20"/>
                <w:lang w:bidi="ar"/>
              </w:rPr>
              <w:t>危及</w:t>
            </w:r>
            <w:r>
              <w:rPr>
                <w:rFonts w:ascii="Times New Roman" w:hAnsi="Times New Roman" w:eastAsia="宋体" w:cs="Times New Roman"/>
                <w:kern w:val="0"/>
                <w:sz w:val="20"/>
                <w:szCs w:val="20"/>
                <w:lang w:bidi="ar"/>
              </w:rPr>
              <w:t>“</w:t>
            </w:r>
            <w:r>
              <w:rPr>
                <w:rFonts w:ascii="Times New Roman" w:hAnsi="宋体" w:eastAsia="宋体" w:cs="Times New Roman"/>
                <w:kern w:val="0"/>
                <w:sz w:val="20"/>
                <w:szCs w:val="20"/>
                <w:lang w:bidi="ar"/>
              </w:rPr>
              <w:t>三安全一稳定</w:t>
            </w:r>
            <w:r>
              <w:rPr>
                <w:rFonts w:ascii="Times New Roman" w:hAnsi="Times New Roman" w:eastAsia="宋体" w:cs="Times New Roman"/>
                <w:kern w:val="0"/>
                <w:sz w:val="20"/>
                <w:szCs w:val="20"/>
                <w:lang w:bidi="ar"/>
              </w:rPr>
              <w:t>”</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w:t>
            </w:r>
            <w:r>
              <w:rPr>
                <w:rFonts w:ascii="Times New Roman" w:hAnsi="宋体" w:eastAsia="宋体" w:cs="Times New Roman"/>
                <w:kern w:val="0"/>
                <w:sz w:val="20"/>
                <w:szCs w:val="20"/>
                <w:lang w:bidi="ar"/>
              </w:rPr>
              <w:t>保护第三方合法权益</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5.</w:t>
            </w:r>
            <w:r>
              <w:rPr>
                <w:rFonts w:ascii="Times New Roman" w:hAnsi="宋体" w:eastAsia="宋体" w:cs="Times New Roman"/>
                <w:kern w:val="0"/>
                <w:sz w:val="20"/>
                <w:szCs w:val="20"/>
                <w:lang w:bidi="ar"/>
              </w:rPr>
              <w:t>属于三类内部事务信息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6.</w:t>
            </w:r>
            <w:r>
              <w:rPr>
                <w:rFonts w:ascii="Times New Roman" w:hAnsi="宋体" w:eastAsia="宋体" w:cs="Times New Roman"/>
                <w:kern w:val="0"/>
                <w:sz w:val="20"/>
                <w:szCs w:val="20"/>
                <w:lang w:bidi="ar"/>
              </w:rPr>
              <w:t>属于四类过程性信息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7.</w:t>
            </w:r>
            <w:r>
              <w:rPr>
                <w:rFonts w:ascii="Times New Roman" w:hAnsi="宋体" w:eastAsia="宋体" w:cs="Times New Roman"/>
                <w:kern w:val="0"/>
                <w:sz w:val="20"/>
                <w:szCs w:val="20"/>
                <w:lang w:bidi="ar"/>
              </w:rPr>
              <w:t>属于行政执法案卷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8.属于行政查询事项</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（四）无法提供</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1.本机关不掌握相关政府信息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2.没有现成信息需要另行制作</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3.补正后申请内容仍不明确</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（五）不予处理</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1.信访举报投诉类申请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3.要求提供公开出版物</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4.无正当理由大量反复申请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5.要求行政机关确认或重新出具已获取信息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（六）其他处理</w:t>
            </w: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3.其他</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（七）总计</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kern w:val="0"/>
                <w:sz w:val="20"/>
                <w:szCs w:val="20"/>
                <w:lang w:val="en-US" w:eastAsia="zh-CN" w:bidi="ar"/>
              </w:rPr>
              <w:t>1</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cs="Times New Roman"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四、结转下年度继续办理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default" w:ascii="Times New Roman" w:hAnsi="Times New Roman" w:cs="Times New Roman" w:eastAsiaTheme="minorEastAsia"/>
                <w:kern w:val="0"/>
                <w:sz w:val="20"/>
                <w:szCs w:val="20"/>
                <w:lang w:val="en-US" w:eastAsia="zh-CN" w:bidi="ar"/>
              </w:rPr>
              <w:t>0</w:t>
            </w:r>
          </w:p>
        </w:tc>
      </w:tr>
      <w:bookmarkEnd w:id="1"/>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四、政府信息公开行政复议、行政诉讼情况</w:t>
      </w:r>
    </w:p>
    <w:tbl>
      <w:tblPr>
        <w:tblStyle w:val="6"/>
        <w:tblpPr w:leftFromText="180" w:rightFromText="180" w:vertAnchor="text" w:horzAnchor="page" w:tblpXSpec="center" w:tblpY="282"/>
        <w:tblOverlap w:val="never"/>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811"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行政复议</w:t>
            </w:r>
          </w:p>
        </w:tc>
        <w:tc>
          <w:tcPr>
            <w:tcW w:w="5640" w:type="dxa"/>
            <w:gridSpan w:val="10"/>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62"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结果维持</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3"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总计</w:t>
            </w:r>
          </w:p>
        </w:tc>
        <w:tc>
          <w:tcPr>
            <w:tcW w:w="2814"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未经复议直接起诉</w:t>
            </w:r>
          </w:p>
        </w:tc>
        <w:tc>
          <w:tcPr>
            <w:tcW w:w="2826"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3"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4"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4" w:type="dxa"/>
            <w:noWrap w:val="0"/>
            <w:tcMar>
              <w:left w:w="108" w:type="dxa"/>
              <w:right w:w="108" w:type="dxa"/>
            </w:tcMar>
            <w:vAlign w:val="center"/>
          </w:tcPr>
          <w:p>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结果</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70"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70" w:type="dxa"/>
            <w:noWrap w:val="0"/>
            <w:tcMar>
              <w:left w:w="108" w:type="dxa"/>
              <w:right w:w="108" w:type="dxa"/>
            </w:tcMar>
            <w:vAlign w:val="center"/>
          </w:tcPr>
          <w:p>
            <w:pPr>
              <w:jc w:val="center"/>
              <w:rPr>
                <w:rFonts w:hint="eastAsia" w:ascii="Times New Roman" w:hAnsi="Times New Roman" w:eastAsia="宋体" w:cs="Times New Roman"/>
                <w:sz w:val="20"/>
                <w:szCs w:val="20"/>
                <w:lang w:eastAsia="zh-CN"/>
              </w:rPr>
            </w:pPr>
            <w:r>
              <w:rPr>
                <w:rFonts w:hint="default" w:ascii="Times New Roman" w:hAnsi="Times New Roman" w:cs="Times New Roman" w:eastAsiaTheme="minorEastAsia"/>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宋体" w:cs="Times New Roman"/>
          <w:i w:val="0"/>
          <w:caps w:val="0"/>
          <w:color w:val="000000"/>
          <w:spacing w:val="0"/>
          <w:sz w:val="32"/>
          <w:szCs w:val="32"/>
          <w:shd w:val="clear" w:fill="FFFFFF"/>
        </w:rPr>
        <w:t>202</w:t>
      </w:r>
      <w:r>
        <w:rPr>
          <w:rFonts w:hint="default" w:ascii="Times New Roman" w:hAnsi="Times New Roman" w:cs="Times New Roman"/>
          <w:i w:val="0"/>
          <w:caps w:val="0"/>
          <w:color w:val="000000"/>
          <w:spacing w:val="0"/>
          <w:sz w:val="32"/>
          <w:szCs w:val="32"/>
          <w:shd w:val="clear" w:fill="FFFFFF"/>
          <w:lang w:val="en-US" w:eastAsia="zh-CN"/>
        </w:rPr>
        <w:t>3</w:t>
      </w:r>
      <w:r>
        <w:rPr>
          <w:rFonts w:hint="default" w:ascii="Times New Roman" w:hAnsi="Times New Roman" w:eastAsia="方正仿宋_GBK" w:cs="Times New Roman"/>
          <w:i w:val="0"/>
          <w:caps w:val="0"/>
          <w:color w:val="000000"/>
          <w:spacing w:val="0"/>
          <w:sz w:val="32"/>
          <w:szCs w:val="32"/>
          <w:shd w:val="clear" w:fill="FFFFFF"/>
        </w:rPr>
        <w:t>年，市应急管理局政务公开工作取得了一定的成效，但对照政务公开工作新要求，仍存在一些不足</w:t>
      </w:r>
      <w:r>
        <w:rPr>
          <w:rFonts w:hint="default" w:ascii="Times New Roman" w:hAnsi="Times New Roman" w:eastAsia="方正仿宋_GBK" w:cs="Times New Roman"/>
          <w:i w:val="0"/>
          <w:caps w:val="0"/>
          <w:color w:val="000000"/>
          <w:spacing w:val="0"/>
          <w:sz w:val="32"/>
          <w:szCs w:val="32"/>
          <w:shd w:val="clear" w:fill="FFFFFF"/>
          <w:lang w:eastAsia="zh-CN"/>
        </w:rPr>
        <w:t>，例如</w:t>
      </w:r>
      <w:r>
        <w:rPr>
          <w:rFonts w:hint="default" w:ascii="Times New Roman" w:hAnsi="Times New Roman" w:eastAsia="方正仿宋_GBK" w:cs="Times New Roman"/>
          <w:sz w:val="32"/>
          <w:szCs w:val="32"/>
          <w:lang w:eastAsia="zh-CN"/>
        </w:rPr>
        <w:t>依申请公开答复不够规范；政策解读数量较少，图片解读质量不高；重点领域公开栏目因重新调整目录整理未完成等。下一步市应急管理局将进一步重视政务公开工作，定期</w:t>
      </w:r>
      <w:r>
        <w:rPr>
          <w:rFonts w:hint="default" w:ascii="Times New Roman" w:hAnsi="Times New Roman" w:eastAsia="方正仿宋_GBK" w:cs="Times New Roman"/>
          <w:sz w:val="32"/>
          <w:szCs w:val="32"/>
          <w:lang w:val="en-US" w:eastAsia="zh-CN"/>
        </w:rPr>
        <w:t>召开政务公开培训会，对相关科室经办人员进行培训，督促经办人员按照的测评指标规范、及时公开政府信息，及时准确回复依申请公开，提高信息发布的规范度，加强与相关部门科室对接，及时对相关政策、会议、文件进行解读，与第三方合作提高图片解读质量，及时与上级部门对接，准确及时发布重点领域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按照《国务院办公厅关于印发〈政府信息公开信息处理费管理办法〉的通知》（国办函〔2020〕109号）规定的按件、按量收费标准，本年度未产生信息公开处理费。</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EoUdMz+/m3YIQ9AuetoNQuw90FE=" w:salt="o7wZHg4MGXfytaNpJFZZN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215A1"/>
    <w:rsid w:val="093215A1"/>
    <w:rsid w:val="3F77A114"/>
    <w:rsid w:val="4FAF008C"/>
    <w:rsid w:val="647336A9"/>
    <w:rsid w:val="6FC43071"/>
    <w:rsid w:val="7CFF2B53"/>
    <w:rsid w:val="FAEFC81C"/>
    <w:rsid w:val="FFEE875F"/>
    <w:rsid w:val="FFFF4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2024-01-18T16:27:00Z</dcterms:created>
  <dc:creator>L&amp;F</dc:creator>
  <cp:lastModifiedBy>随意吧</cp:lastModifiedBy>
  <dcterms:modified xsi:type="dcterms:W3CDTF">2024-02-02T03:35:17Z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950928272EC20E89DE66B765C53415DF</vt:lpwstr>
  </property>
</Properties>
</file>