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53261">
      <w:pPr>
        <w:pStyle w:val="14"/>
        <w:spacing w:beforeAutospacing="0" w:afterAutospacing="0" w:line="500" w:lineRule="atLeast"/>
        <w:rPr>
          <w:rFonts w:hint="eastAsia" w:ascii="宋体" w:hAnsi="宋体" w:eastAsia="宋体" w:cs="宋体"/>
          <w:color w:val="auto"/>
          <w:szCs w:val="24"/>
        </w:rPr>
      </w:pPr>
    </w:p>
    <w:p w14:paraId="7C79F0BD">
      <w:pPr>
        <w:pStyle w:val="14"/>
        <w:spacing w:beforeAutospacing="0" w:afterAutospacing="0" w:line="500" w:lineRule="atLeast"/>
        <w:rPr>
          <w:rFonts w:ascii="宋体" w:eastAsia="宋体" w:cs="宋体"/>
          <w:color w:val="auto"/>
          <w:sz w:val="28"/>
          <w:szCs w:val="28"/>
        </w:rPr>
      </w:pPr>
      <w:r>
        <w:rPr>
          <w:rFonts w:hint="eastAsia" w:ascii="宋体" w:hAnsi="宋体" w:eastAsia="宋体" w:cs="宋体"/>
          <w:color w:val="auto"/>
          <w:szCs w:val="24"/>
        </w:rPr>
        <w:t xml:space="preserve">                   </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 xml:space="preserve">                </w:t>
      </w:r>
      <w:r>
        <w:rPr>
          <w:rFonts w:ascii="宋体" w:eastAsia="宋体" w:cs="宋体"/>
          <w:color w:val="auto"/>
          <w:sz w:val="28"/>
          <w:szCs w:val="28"/>
        </w:rPr>
        <w:t xml:space="preserve">  </w:t>
      </w:r>
    </w:p>
    <w:p w14:paraId="5192BFD2">
      <w:pPr>
        <w:jc w:val="center"/>
        <w:rPr>
          <w:rFonts w:hint="eastAsia" w:ascii="方正小标宋简体" w:hAnsi="方正小标宋简体" w:eastAsia="方正小标宋简体" w:cs="方正小标宋简体"/>
          <w:color w:val="auto"/>
          <w:sz w:val="52"/>
          <w:szCs w:val="52"/>
          <w:lang w:eastAsia="zh-CN"/>
        </w:rPr>
      </w:pPr>
      <w:bookmarkStart w:id="0" w:name="_Toc19687"/>
      <w:bookmarkStart w:id="1" w:name="_Toc32609"/>
      <w:bookmarkStart w:id="2" w:name="_Toc27821"/>
      <w:bookmarkStart w:id="1679" w:name="_GoBack"/>
      <w:r>
        <w:rPr>
          <w:rFonts w:hint="eastAsia" w:ascii="方正小标宋简体" w:hAnsi="方正小标宋简体" w:eastAsia="方正小标宋简体" w:cs="方正小标宋简体"/>
          <w:color w:val="auto"/>
          <w:sz w:val="52"/>
          <w:szCs w:val="52"/>
          <w:lang w:eastAsia="zh-CN"/>
        </w:rPr>
        <w:t>淮南</w:t>
      </w:r>
      <w:r>
        <w:rPr>
          <w:rFonts w:hint="eastAsia" w:ascii="方正小标宋简体" w:hAnsi="方正小标宋简体" w:eastAsia="方正小标宋简体" w:cs="方正小标宋简体"/>
          <w:color w:val="auto"/>
          <w:sz w:val="52"/>
          <w:szCs w:val="52"/>
          <w:lang w:eastAsia="zh-CN"/>
        </w:rPr>
        <w:t>市</w:t>
      </w:r>
      <w:r>
        <w:rPr>
          <w:rFonts w:hint="eastAsia" w:ascii="方正小标宋简体" w:hAnsi="方正小标宋简体" w:eastAsia="方正小标宋简体" w:cs="方正小标宋简体"/>
          <w:color w:val="auto"/>
          <w:sz w:val="52"/>
          <w:szCs w:val="52"/>
          <w:lang w:val="en-US" w:eastAsia="zh-CN"/>
        </w:rPr>
        <w:t>应急管理局</w:t>
      </w:r>
      <w:r>
        <w:rPr>
          <w:rFonts w:hint="eastAsia" w:ascii="方正小标宋简体" w:hAnsi="方正小标宋简体" w:eastAsia="方正小标宋简体" w:cs="方正小标宋简体"/>
          <w:color w:val="auto"/>
          <w:sz w:val="52"/>
          <w:szCs w:val="52"/>
          <w:lang w:eastAsia="zh-CN"/>
        </w:rPr>
        <w:t>信息化</w:t>
      </w:r>
      <w:r>
        <w:rPr>
          <w:rFonts w:hint="eastAsia" w:ascii="方正小标宋简体" w:hAnsi="方正小标宋简体" w:eastAsia="方正小标宋简体" w:cs="方正小标宋简体"/>
          <w:color w:val="auto"/>
          <w:sz w:val="52"/>
          <w:szCs w:val="52"/>
          <w:lang w:eastAsia="zh-CN"/>
        </w:rPr>
        <w:t>运维服务项目</w:t>
      </w:r>
      <w:bookmarkStart w:id="3" w:name="_Toc9791"/>
    </w:p>
    <w:p w14:paraId="0192042C">
      <w:pPr>
        <w:jc w:val="center"/>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竞争性磋商文件</w:t>
      </w:r>
      <w:bookmarkEnd w:id="3"/>
    </w:p>
    <w:bookmarkEnd w:id="1679"/>
    <w:p w14:paraId="5A81F425">
      <w:pPr>
        <w:jc w:val="center"/>
        <w:rPr>
          <w:rFonts w:hint="eastAsia" w:ascii="方正小标宋简体" w:hAnsi="方正小标宋简体" w:eastAsia="方正小标宋简体" w:cs="方正小标宋简体"/>
          <w:color w:val="auto"/>
          <w:sz w:val="84"/>
          <w:szCs w:val="84"/>
          <w:lang w:eastAsia="zh-CN"/>
        </w:rPr>
      </w:pPr>
    </w:p>
    <w:bookmarkEnd w:id="0"/>
    <w:bookmarkEnd w:id="1"/>
    <w:bookmarkEnd w:id="2"/>
    <w:p w14:paraId="2D590A56">
      <w:pPr>
        <w:pStyle w:val="6"/>
        <w:rPr>
          <w:color w:val="auto"/>
        </w:rPr>
      </w:pPr>
    </w:p>
    <w:p w14:paraId="73C31B71">
      <w:pPr>
        <w:jc w:val="left"/>
        <w:rPr>
          <w:rFonts w:ascii="宋体" w:hAnsi="宋体" w:eastAsia="宋体" w:cs="宋体"/>
          <w:color w:val="auto"/>
          <w:sz w:val="28"/>
          <w:szCs w:val="28"/>
        </w:rPr>
      </w:pPr>
    </w:p>
    <w:p w14:paraId="439DC8B7">
      <w:pPr>
        <w:pStyle w:val="6"/>
        <w:widowControl/>
        <w:jc w:val="center"/>
        <w:rPr>
          <w:rFonts w:ascii="Tahoma" w:hAnsi="Tahoma" w:cs="Tahoma"/>
          <w:b/>
          <w:bCs/>
          <w:color w:val="auto"/>
          <w:sz w:val="84"/>
          <w:szCs w:val="84"/>
        </w:rPr>
      </w:pPr>
    </w:p>
    <w:p w14:paraId="78E4398B">
      <w:pPr>
        <w:pStyle w:val="7"/>
        <w:rPr>
          <w:color w:val="auto"/>
        </w:rPr>
      </w:pPr>
    </w:p>
    <w:p w14:paraId="63FC4E73">
      <w:pPr>
        <w:widowControl/>
        <w:spacing w:line="690" w:lineRule="atLeast"/>
        <w:ind w:firstLine="1928" w:firstLineChars="600"/>
        <w:rPr>
          <w:rFonts w:hint="eastAsia" w:ascii="仿宋_GB2312" w:hAnsi="仿宋_GB2312" w:eastAsia="仿宋_GB2312" w:cs="仿宋_GB2312"/>
          <w:b/>
          <w:bCs/>
          <w:color w:val="auto"/>
          <w:kern w:val="0"/>
          <w:sz w:val="32"/>
          <w:szCs w:val="32"/>
          <w:u w:val="single"/>
        </w:rPr>
      </w:pPr>
      <w:r>
        <w:rPr>
          <w:rFonts w:hint="eastAsia" w:ascii="仿宋_GB2312" w:hAnsi="仿宋_GB2312" w:eastAsia="仿宋_GB2312" w:cs="仿宋_GB2312"/>
          <w:b/>
          <w:bCs/>
          <w:color w:val="auto"/>
          <w:sz w:val="32"/>
          <w:szCs w:val="32"/>
        </w:rPr>
        <w:t>采 购 人：</w:t>
      </w:r>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kern w:val="0"/>
          <w:sz w:val="32"/>
          <w:szCs w:val="32"/>
          <w:u w:val="single"/>
        </w:rPr>
        <w:t>淮南市</w:t>
      </w:r>
      <w:r>
        <w:rPr>
          <w:rFonts w:hint="eastAsia" w:ascii="仿宋_GB2312" w:hAnsi="仿宋_GB2312" w:eastAsia="仿宋_GB2312" w:cs="仿宋_GB2312"/>
          <w:b/>
          <w:bCs/>
          <w:color w:val="auto"/>
          <w:kern w:val="0"/>
          <w:sz w:val="32"/>
          <w:szCs w:val="32"/>
          <w:u w:val="single"/>
          <w:lang w:val="en-US" w:eastAsia="zh-CN"/>
        </w:rPr>
        <w:t>应急管理</w:t>
      </w:r>
      <w:r>
        <w:rPr>
          <w:rFonts w:hint="eastAsia" w:ascii="仿宋_GB2312" w:hAnsi="仿宋_GB2312" w:eastAsia="仿宋_GB2312" w:cs="仿宋_GB2312"/>
          <w:b/>
          <w:bCs/>
          <w:color w:val="auto"/>
          <w:kern w:val="0"/>
          <w:sz w:val="32"/>
          <w:szCs w:val="32"/>
          <w:u w:val="single"/>
        </w:rPr>
        <w:t xml:space="preserve">局     </w:t>
      </w:r>
    </w:p>
    <w:p w14:paraId="5B14268C">
      <w:pPr>
        <w:widowControl/>
        <w:spacing w:line="690" w:lineRule="atLeast"/>
        <w:ind w:firstLine="1928" w:firstLineChars="600"/>
        <w:rPr>
          <w:rFonts w:hint="eastAsia" w:ascii="仿宋_GB2312" w:hAnsi="仿宋_GB2312" w:eastAsia="仿宋_GB2312" w:cs="仿宋_GB2312"/>
          <w:b/>
          <w:bCs/>
          <w:color w:val="auto"/>
          <w:sz w:val="32"/>
          <w:szCs w:val="32"/>
          <w:u w:val="single"/>
        </w:rPr>
      </w:pPr>
      <w:r>
        <w:rPr>
          <w:rFonts w:hint="eastAsia" w:ascii="仿宋_GB2312" w:hAnsi="仿宋_GB2312" w:eastAsia="仿宋_GB2312" w:cs="仿宋_GB2312"/>
          <w:b/>
          <w:bCs/>
          <w:color w:val="auto"/>
          <w:sz w:val="32"/>
          <w:szCs w:val="32"/>
        </w:rPr>
        <w:t xml:space="preserve">日  </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 xml:space="preserve"> 期：</w:t>
      </w:r>
      <w:r>
        <w:rPr>
          <w:rFonts w:hint="eastAsia" w:ascii="仿宋_GB2312" w:hAnsi="仿宋_GB2312" w:eastAsia="仿宋_GB2312" w:cs="仿宋_GB2312"/>
          <w:b/>
          <w:bCs/>
          <w:color w:val="auto"/>
          <w:sz w:val="32"/>
          <w:szCs w:val="32"/>
          <w:u w:val="single"/>
        </w:rPr>
        <w:t xml:space="preserve">       二零二</w:t>
      </w:r>
      <w:r>
        <w:rPr>
          <w:rFonts w:hint="eastAsia" w:ascii="仿宋_GB2312" w:hAnsi="仿宋_GB2312" w:eastAsia="仿宋_GB2312" w:cs="仿宋_GB2312"/>
          <w:b/>
          <w:bCs/>
          <w:color w:val="auto"/>
          <w:sz w:val="32"/>
          <w:szCs w:val="32"/>
          <w:u w:val="single"/>
          <w:lang w:val="en-US" w:eastAsia="zh-CN"/>
        </w:rPr>
        <w:t>五</w:t>
      </w:r>
      <w:r>
        <w:rPr>
          <w:rFonts w:hint="eastAsia" w:ascii="仿宋_GB2312" w:hAnsi="仿宋_GB2312" w:eastAsia="仿宋_GB2312" w:cs="仿宋_GB2312"/>
          <w:b/>
          <w:bCs/>
          <w:color w:val="auto"/>
          <w:sz w:val="32"/>
          <w:szCs w:val="32"/>
          <w:u w:val="single"/>
        </w:rPr>
        <w:t>年</w:t>
      </w:r>
      <w:r>
        <w:rPr>
          <w:rFonts w:hint="eastAsia" w:ascii="仿宋_GB2312" w:hAnsi="仿宋_GB2312" w:eastAsia="仿宋_GB2312" w:cs="仿宋_GB2312"/>
          <w:b/>
          <w:bCs/>
          <w:color w:val="auto"/>
          <w:sz w:val="32"/>
          <w:szCs w:val="32"/>
          <w:u w:val="single"/>
          <w:lang w:val="en-US" w:eastAsia="zh-CN"/>
        </w:rPr>
        <w:t>一</w:t>
      </w:r>
      <w:r>
        <w:rPr>
          <w:rFonts w:hint="eastAsia" w:ascii="仿宋_GB2312" w:hAnsi="仿宋_GB2312" w:eastAsia="仿宋_GB2312" w:cs="仿宋_GB2312"/>
          <w:b/>
          <w:bCs/>
          <w:color w:val="auto"/>
          <w:sz w:val="32"/>
          <w:szCs w:val="32"/>
          <w:u w:val="single"/>
        </w:rPr>
        <w:t xml:space="preserve">月       </w:t>
      </w:r>
    </w:p>
    <w:p w14:paraId="42D7D637">
      <w:pPr>
        <w:pStyle w:val="2"/>
        <w:ind w:firstLine="440"/>
        <w:rPr>
          <w:color w:val="auto"/>
        </w:rPr>
      </w:pPr>
    </w:p>
    <w:p w14:paraId="15850F90">
      <w:pPr>
        <w:pStyle w:val="5"/>
        <w:ind w:right="-21" w:firstLine="540"/>
        <w:rPr>
          <w:color w:val="auto"/>
        </w:rPr>
      </w:pPr>
    </w:p>
    <w:p w14:paraId="0F32DAB9">
      <w:pPr>
        <w:pStyle w:val="6"/>
        <w:widowControl/>
        <w:spacing w:line="720" w:lineRule="auto"/>
        <w:jc w:val="center"/>
        <w:rPr>
          <w:rFonts w:hint="eastAsia" w:ascii="宋体" w:hAnsi="宋体" w:eastAsia="宋体" w:cs="宋体"/>
          <w:b/>
          <w:bCs/>
          <w:color w:val="auto"/>
          <w:sz w:val="44"/>
          <w:szCs w:val="44"/>
        </w:rPr>
      </w:pPr>
      <w:bookmarkStart w:id="4" w:name="_Toc19014"/>
      <w:bookmarkStart w:id="5" w:name="_Toc10413"/>
    </w:p>
    <w:p w14:paraId="7C2C38F1">
      <w:pPr>
        <w:pStyle w:val="7"/>
        <w:rPr>
          <w:rFonts w:hint="eastAsia" w:ascii="宋体" w:hAnsi="宋体" w:eastAsia="宋体" w:cs="宋体"/>
          <w:b/>
          <w:bCs/>
          <w:color w:val="auto"/>
          <w:sz w:val="44"/>
          <w:szCs w:val="44"/>
        </w:rPr>
      </w:pPr>
    </w:p>
    <w:p w14:paraId="549C002A">
      <w:pPr>
        <w:rPr>
          <w:rFonts w:hint="eastAsia" w:ascii="宋体" w:hAnsi="宋体" w:eastAsia="宋体" w:cs="宋体"/>
          <w:b/>
          <w:bCs/>
          <w:color w:val="auto"/>
          <w:sz w:val="44"/>
          <w:szCs w:val="44"/>
        </w:rPr>
      </w:pPr>
    </w:p>
    <w:p w14:paraId="1B2F62BD">
      <w:pPr>
        <w:pStyle w:val="2"/>
        <w:rPr>
          <w:rFonts w:hint="eastAsia"/>
        </w:rPr>
      </w:pPr>
    </w:p>
    <w:p w14:paraId="2FEF50B2">
      <w:pPr>
        <w:pStyle w:val="6"/>
        <w:widowControl/>
        <w:spacing w:line="720" w:lineRule="auto"/>
        <w:jc w:val="center"/>
        <w:rPr>
          <w:rFonts w:hint="eastAsia" w:ascii="宋体" w:hAnsi="宋体" w:eastAsia="宋体" w:cs="宋体"/>
          <w:b/>
          <w:bCs/>
          <w:color w:val="auto"/>
          <w:sz w:val="44"/>
          <w:szCs w:val="44"/>
        </w:rPr>
      </w:pPr>
    </w:p>
    <w:p w14:paraId="1403F88A">
      <w:pPr>
        <w:pStyle w:val="6"/>
        <w:widowControl/>
        <w:spacing w:line="720" w:lineRule="auto"/>
        <w:jc w:val="center"/>
        <w:rPr>
          <w:rFonts w:hint="eastAsia" w:ascii="宋体" w:hAnsi="宋体" w:eastAsia="宋体" w:cs="宋体"/>
          <w:b/>
          <w:bCs/>
          <w:color w:val="auto"/>
          <w:sz w:val="44"/>
          <w:szCs w:val="44"/>
        </w:rPr>
      </w:pPr>
    </w:p>
    <w:p w14:paraId="1CFCFBDF">
      <w:pPr>
        <w:pStyle w:val="6"/>
        <w:widowControl/>
        <w:spacing w:line="720" w:lineRule="auto"/>
        <w:jc w:val="center"/>
        <w:rPr>
          <w:rFonts w:ascii="宋体" w:hAnsi="宋体" w:eastAsia="宋体" w:cs="宋体"/>
          <w:b/>
          <w:bCs/>
          <w:color w:val="auto"/>
          <w:sz w:val="44"/>
          <w:szCs w:val="44"/>
        </w:rPr>
      </w:pPr>
      <w:r>
        <w:rPr>
          <w:rFonts w:hint="eastAsia" w:ascii="宋体" w:hAnsi="宋体" w:eastAsia="宋体" w:cs="宋体"/>
          <w:b/>
          <w:bCs/>
          <w:color w:val="auto"/>
          <w:sz w:val="44"/>
          <w:szCs w:val="44"/>
          <w:lang w:eastAsia="zh-CN"/>
        </w:rPr>
        <w:t>目</w:t>
      </w:r>
      <w:r>
        <w:rPr>
          <w:rFonts w:hint="eastAsia" w:ascii="宋体" w:hAnsi="宋体" w:eastAsia="宋体" w:cs="宋体"/>
          <w:b/>
          <w:bCs/>
          <w:color w:val="auto"/>
          <w:sz w:val="44"/>
          <w:szCs w:val="44"/>
        </w:rPr>
        <w:t xml:space="preserve"> 录</w:t>
      </w:r>
      <w:bookmarkEnd w:id="4"/>
      <w:bookmarkEnd w:id="5"/>
    </w:p>
    <w:p w14:paraId="7886758D">
      <w:pPr>
        <w:pStyle w:val="13"/>
        <w:tabs>
          <w:tab w:val="right" w:leader="dot" w:pos="10120"/>
        </w:tabs>
        <w:spacing w:line="720" w:lineRule="auto"/>
        <w:ind w:left="17"/>
        <w:rPr>
          <w:rFonts w:hint="default" w:cs="宋体"/>
          <w:b/>
          <w:bCs/>
          <w:color w:val="auto"/>
        </w:rPr>
      </w:pPr>
      <w:r>
        <w:rPr>
          <w:rFonts w:cs="宋体"/>
          <w:b/>
          <w:bCs/>
          <w:color w:val="auto"/>
        </w:rPr>
        <w:fldChar w:fldCharType="begin"/>
      </w:r>
      <w:r>
        <w:rPr>
          <w:rFonts w:cs="宋体"/>
          <w:b/>
          <w:bCs/>
          <w:color w:val="auto"/>
        </w:rPr>
        <w:instrText xml:space="preserve">TOC \o "1-1" \h \u </w:instrText>
      </w:r>
      <w:r>
        <w:rPr>
          <w:rFonts w:cs="宋体"/>
          <w:b/>
          <w:bCs/>
          <w:color w:val="auto"/>
        </w:rPr>
        <w:fldChar w:fldCharType="separate"/>
      </w:r>
      <w:r>
        <w:rPr>
          <w:color w:val="auto"/>
        </w:rPr>
        <w:fldChar w:fldCharType="begin"/>
      </w:r>
      <w:r>
        <w:rPr>
          <w:color w:val="auto"/>
        </w:rPr>
        <w:instrText xml:space="preserve"> HYPERLINK \l "_Toc15854" </w:instrText>
      </w:r>
      <w:r>
        <w:rPr>
          <w:color w:val="auto"/>
        </w:rPr>
        <w:fldChar w:fldCharType="separate"/>
      </w:r>
      <w:r>
        <w:rPr>
          <w:rFonts w:cs="宋体"/>
          <w:b/>
          <w:bCs/>
          <w:color w:val="auto"/>
        </w:rPr>
        <w:t>第一章 竞争性磋商公告</w:t>
      </w:r>
      <w:r>
        <w:rPr>
          <w:rFonts w:cs="宋体"/>
          <w:b/>
          <w:bCs/>
          <w:color w:val="auto"/>
        </w:rPr>
        <w:tab/>
      </w:r>
      <w:r>
        <w:rPr>
          <w:rFonts w:cs="宋体"/>
          <w:b/>
          <w:bCs/>
          <w:color w:val="auto"/>
        </w:rPr>
        <w:fldChar w:fldCharType="begin"/>
      </w:r>
      <w:r>
        <w:rPr>
          <w:rFonts w:cs="宋体"/>
          <w:b/>
          <w:bCs/>
          <w:color w:val="auto"/>
        </w:rPr>
        <w:instrText xml:space="preserve"> PAGEREF _Toc15854 </w:instrText>
      </w:r>
      <w:r>
        <w:rPr>
          <w:rFonts w:cs="宋体"/>
          <w:b/>
          <w:bCs/>
          <w:color w:val="auto"/>
        </w:rPr>
        <w:fldChar w:fldCharType="separate"/>
      </w:r>
      <w:r>
        <w:rPr>
          <w:rFonts w:cs="宋体"/>
          <w:b/>
          <w:bCs/>
          <w:color w:val="auto"/>
        </w:rPr>
        <w:t>3</w:t>
      </w:r>
      <w:r>
        <w:rPr>
          <w:rFonts w:cs="宋体"/>
          <w:b/>
          <w:bCs/>
          <w:color w:val="auto"/>
        </w:rPr>
        <w:fldChar w:fldCharType="end"/>
      </w:r>
      <w:r>
        <w:rPr>
          <w:rFonts w:cs="宋体"/>
          <w:b/>
          <w:bCs/>
          <w:color w:val="auto"/>
        </w:rPr>
        <w:fldChar w:fldCharType="end"/>
      </w:r>
    </w:p>
    <w:p w14:paraId="19181585">
      <w:pPr>
        <w:pStyle w:val="13"/>
        <w:tabs>
          <w:tab w:val="right" w:leader="dot" w:pos="10120"/>
        </w:tabs>
        <w:spacing w:line="720" w:lineRule="auto"/>
        <w:ind w:left="17"/>
        <w:rPr>
          <w:rFonts w:hint="default" w:cs="宋体"/>
          <w:b/>
          <w:bCs/>
          <w:color w:val="auto"/>
        </w:rPr>
      </w:pPr>
      <w:r>
        <w:rPr>
          <w:color w:val="auto"/>
        </w:rPr>
        <w:fldChar w:fldCharType="begin"/>
      </w:r>
      <w:r>
        <w:rPr>
          <w:color w:val="auto"/>
        </w:rPr>
        <w:instrText xml:space="preserve"> HYPERLINK \l "_Toc5338" </w:instrText>
      </w:r>
      <w:r>
        <w:rPr>
          <w:color w:val="auto"/>
        </w:rPr>
        <w:fldChar w:fldCharType="separate"/>
      </w:r>
      <w:r>
        <w:rPr>
          <w:rFonts w:cs="宋体"/>
          <w:b/>
          <w:bCs/>
          <w:color w:val="auto"/>
        </w:rPr>
        <w:t>第二章 投标须知前附表</w:t>
      </w:r>
      <w:r>
        <w:rPr>
          <w:rFonts w:cs="宋体"/>
          <w:b/>
          <w:bCs/>
          <w:color w:val="auto"/>
        </w:rPr>
        <w:tab/>
      </w:r>
      <w:r>
        <w:rPr>
          <w:rFonts w:cs="宋体"/>
          <w:b/>
          <w:bCs/>
          <w:color w:val="auto"/>
        </w:rPr>
        <w:fldChar w:fldCharType="begin"/>
      </w:r>
      <w:r>
        <w:rPr>
          <w:rFonts w:cs="宋体"/>
          <w:b/>
          <w:bCs/>
          <w:color w:val="auto"/>
        </w:rPr>
        <w:instrText xml:space="preserve"> PAGEREF _Toc5338 </w:instrText>
      </w:r>
      <w:r>
        <w:rPr>
          <w:rFonts w:cs="宋体"/>
          <w:b/>
          <w:bCs/>
          <w:color w:val="auto"/>
        </w:rPr>
        <w:fldChar w:fldCharType="separate"/>
      </w:r>
      <w:r>
        <w:rPr>
          <w:rFonts w:cs="宋体"/>
          <w:b/>
          <w:bCs/>
          <w:color w:val="auto"/>
        </w:rPr>
        <w:t>5</w:t>
      </w:r>
      <w:r>
        <w:rPr>
          <w:rFonts w:cs="宋体"/>
          <w:b/>
          <w:bCs/>
          <w:color w:val="auto"/>
        </w:rPr>
        <w:fldChar w:fldCharType="end"/>
      </w:r>
      <w:r>
        <w:rPr>
          <w:rFonts w:cs="宋体"/>
          <w:b/>
          <w:bCs/>
          <w:color w:val="auto"/>
        </w:rPr>
        <w:fldChar w:fldCharType="end"/>
      </w:r>
    </w:p>
    <w:p w14:paraId="0B29CB72">
      <w:pPr>
        <w:pStyle w:val="13"/>
        <w:tabs>
          <w:tab w:val="right" w:leader="dot" w:pos="10120"/>
        </w:tabs>
        <w:spacing w:line="720" w:lineRule="auto"/>
        <w:ind w:left="17"/>
        <w:rPr>
          <w:rFonts w:hint="default" w:cs="宋体"/>
          <w:b/>
          <w:bCs/>
          <w:color w:val="auto"/>
        </w:rPr>
      </w:pPr>
      <w:r>
        <w:rPr>
          <w:color w:val="auto"/>
        </w:rPr>
        <w:fldChar w:fldCharType="begin"/>
      </w:r>
      <w:r>
        <w:rPr>
          <w:color w:val="auto"/>
        </w:rPr>
        <w:instrText xml:space="preserve"> HYPERLINK \l "_Toc29507" </w:instrText>
      </w:r>
      <w:r>
        <w:rPr>
          <w:color w:val="auto"/>
        </w:rPr>
        <w:fldChar w:fldCharType="separate"/>
      </w:r>
      <w:r>
        <w:rPr>
          <w:rFonts w:cs="宋体"/>
          <w:b/>
          <w:bCs/>
          <w:color w:val="auto"/>
        </w:rPr>
        <w:t>第三章 采购需求</w:t>
      </w:r>
      <w:r>
        <w:rPr>
          <w:rFonts w:cs="宋体"/>
          <w:b/>
          <w:bCs/>
          <w:color w:val="auto"/>
        </w:rPr>
        <w:tab/>
      </w:r>
      <w:r>
        <w:rPr>
          <w:rFonts w:cs="宋体"/>
          <w:b/>
          <w:bCs/>
          <w:color w:val="auto"/>
        </w:rPr>
        <w:fldChar w:fldCharType="begin"/>
      </w:r>
      <w:r>
        <w:rPr>
          <w:rFonts w:cs="宋体"/>
          <w:b/>
          <w:bCs/>
          <w:color w:val="auto"/>
        </w:rPr>
        <w:instrText xml:space="preserve"> PAGEREF _Toc29507 </w:instrText>
      </w:r>
      <w:r>
        <w:rPr>
          <w:rFonts w:cs="宋体"/>
          <w:b/>
          <w:bCs/>
          <w:color w:val="auto"/>
        </w:rPr>
        <w:fldChar w:fldCharType="separate"/>
      </w:r>
      <w:r>
        <w:rPr>
          <w:rFonts w:cs="宋体"/>
          <w:b/>
          <w:bCs/>
          <w:color w:val="auto"/>
        </w:rPr>
        <w:t>8</w:t>
      </w:r>
      <w:r>
        <w:rPr>
          <w:rFonts w:cs="宋体"/>
          <w:b/>
          <w:bCs/>
          <w:color w:val="auto"/>
        </w:rPr>
        <w:fldChar w:fldCharType="end"/>
      </w:r>
      <w:r>
        <w:rPr>
          <w:rFonts w:cs="宋体"/>
          <w:b/>
          <w:bCs/>
          <w:color w:val="auto"/>
        </w:rPr>
        <w:fldChar w:fldCharType="end"/>
      </w:r>
    </w:p>
    <w:p w14:paraId="12132AB9">
      <w:pPr>
        <w:pStyle w:val="13"/>
        <w:tabs>
          <w:tab w:val="right" w:leader="dot" w:pos="10120"/>
        </w:tabs>
        <w:spacing w:line="720" w:lineRule="auto"/>
        <w:ind w:left="17"/>
        <w:rPr>
          <w:rFonts w:hint="default" w:cs="宋体"/>
          <w:b/>
          <w:bCs/>
          <w:color w:val="auto"/>
        </w:rPr>
      </w:pPr>
      <w:r>
        <w:rPr>
          <w:color w:val="auto"/>
        </w:rPr>
        <w:fldChar w:fldCharType="begin"/>
      </w:r>
      <w:r>
        <w:rPr>
          <w:color w:val="auto"/>
        </w:rPr>
        <w:instrText xml:space="preserve"> HYPERLINK \l "_Toc5196" </w:instrText>
      </w:r>
      <w:r>
        <w:rPr>
          <w:color w:val="auto"/>
        </w:rPr>
        <w:fldChar w:fldCharType="separate"/>
      </w:r>
      <w:r>
        <w:rPr>
          <w:rFonts w:cs="宋体"/>
          <w:b/>
          <w:bCs/>
          <w:color w:val="auto"/>
        </w:rPr>
        <w:t>第四章 评标办法</w:t>
      </w:r>
      <w:r>
        <w:rPr>
          <w:rFonts w:cs="宋体"/>
          <w:b/>
          <w:bCs/>
          <w:color w:val="auto"/>
        </w:rPr>
        <w:tab/>
      </w:r>
      <w:r>
        <w:rPr>
          <w:rFonts w:cs="宋体"/>
          <w:b/>
          <w:bCs/>
          <w:color w:val="auto"/>
        </w:rPr>
        <w:fldChar w:fldCharType="begin"/>
      </w:r>
      <w:r>
        <w:rPr>
          <w:rFonts w:cs="宋体"/>
          <w:b/>
          <w:bCs/>
          <w:color w:val="auto"/>
        </w:rPr>
        <w:instrText xml:space="preserve"> PAGEREF _Toc5196 </w:instrText>
      </w:r>
      <w:r>
        <w:rPr>
          <w:rFonts w:cs="宋体"/>
          <w:b/>
          <w:bCs/>
          <w:color w:val="auto"/>
        </w:rPr>
        <w:fldChar w:fldCharType="separate"/>
      </w:r>
      <w:r>
        <w:rPr>
          <w:rFonts w:cs="宋体"/>
          <w:b/>
          <w:bCs/>
          <w:color w:val="auto"/>
        </w:rPr>
        <w:t>11</w:t>
      </w:r>
      <w:r>
        <w:rPr>
          <w:rFonts w:cs="宋体"/>
          <w:b/>
          <w:bCs/>
          <w:color w:val="auto"/>
        </w:rPr>
        <w:fldChar w:fldCharType="end"/>
      </w:r>
      <w:r>
        <w:rPr>
          <w:rFonts w:cs="宋体"/>
          <w:b/>
          <w:bCs/>
          <w:color w:val="auto"/>
        </w:rPr>
        <w:fldChar w:fldCharType="end"/>
      </w:r>
    </w:p>
    <w:p w14:paraId="5360CCE5">
      <w:pPr>
        <w:pStyle w:val="13"/>
        <w:tabs>
          <w:tab w:val="right" w:leader="dot" w:pos="10120"/>
        </w:tabs>
        <w:spacing w:line="720" w:lineRule="auto"/>
        <w:ind w:left="17"/>
        <w:rPr>
          <w:rFonts w:hint="default" w:cs="宋体"/>
          <w:b/>
          <w:bCs/>
          <w:color w:val="auto"/>
        </w:rPr>
      </w:pPr>
      <w:r>
        <w:rPr>
          <w:color w:val="auto"/>
        </w:rPr>
        <w:fldChar w:fldCharType="begin"/>
      </w:r>
      <w:r>
        <w:rPr>
          <w:color w:val="auto"/>
        </w:rPr>
        <w:instrText xml:space="preserve"> HYPERLINK \l "_Toc21436" </w:instrText>
      </w:r>
      <w:r>
        <w:rPr>
          <w:color w:val="auto"/>
        </w:rPr>
        <w:fldChar w:fldCharType="separate"/>
      </w:r>
      <w:r>
        <w:rPr>
          <w:rFonts w:cs="宋体"/>
          <w:b/>
          <w:bCs/>
          <w:color w:val="auto"/>
        </w:rPr>
        <w:t>第五章 供应商须知</w:t>
      </w:r>
      <w:r>
        <w:rPr>
          <w:rFonts w:cs="宋体"/>
          <w:b/>
          <w:bCs/>
          <w:color w:val="auto"/>
        </w:rPr>
        <w:tab/>
      </w:r>
      <w:r>
        <w:rPr>
          <w:rFonts w:cs="宋体"/>
          <w:b/>
          <w:bCs/>
          <w:color w:val="auto"/>
        </w:rPr>
        <w:fldChar w:fldCharType="begin"/>
      </w:r>
      <w:r>
        <w:rPr>
          <w:rFonts w:cs="宋体"/>
          <w:b/>
          <w:bCs/>
          <w:color w:val="auto"/>
        </w:rPr>
        <w:instrText xml:space="preserve"> PAGEREF _Toc21436 </w:instrText>
      </w:r>
      <w:r>
        <w:rPr>
          <w:rFonts w:cs="宋体"/>
          <w:b/>
          <w:bCs/>
          <w:color w:val="auto"/>
        </w:rPr>
        <w:fldChar w:fldCharType="separate"/>
      </w:r>
      <w:r>
        <w:rPr>
          <w:rFonts w:cs="宋体"/>
          <w:b/>
          <w:bCs/>
          <w:color w:val="auto"/>
        </w:rPr>
        <w:t>14</w:t>
      </w:r>
      <w:r>
        <w:rPr>
          <w:rFonts w:cs="宋体"/>
          <w:b/>
          <w:bCs/>
          <w:color w:val="auto"/>
        </w:rPr>
        <w:fldChar w:fldCharType="end"/>
      </w:r>
      <w:r>
        <w:rPr>
          <w:rFonts w:cs="宋体"/>
          <w:b/>
          <w:bCs/>
          <w:color w:val="auto"/>
        </w:rPr>
        <w:fldChar w:fldCharType="end"/>
      </w:r>
    </w:p>
    <w:p w14:paraId="0E271ED5">
      <w:pPr>
        <w:pStyle w:val="13"/>
        <w:tabs>
          <w:tab w:val="right" w:leader="dot" w:pos="10120"/>
        </w:tabs>
        <w:spacing w:line="720" w:lineRule="auto"/>
        <w:ind w:left="17"/>
        <w:rPr>
          <w:rFonts w:hint="default" w:cs="宋体"/>
          <w:b/>
          <w:bCs/>
          <w:color w:val="auto"/>
        </w:rPr>
      </w:pPr>
      <w:r>
        <w:rPr>
          <w:color w:val="auto"/>
        </w:rPr>
        <w:fldChar w:fldCharType="begin"/>
      </w:r>
      <w:r>
        <w:rPr>
          <w:color w:val="auto"/>
        </w:rPr>
        <w:instrText xml:space="preserve"> HYPERLINK \l "_Toc29096" </w:instrText>
      </w:r>
      <w:r>
        <w:rPr>
          <w:color w:val="auto"/>
        </w:rPr>
        <w:fldChar w:fldCharType="separate"/>
      </w:r>
      <w:r>
        <w:rPr>
          <w:rFonts w:cs="宋体"/>
          <w:b/>
          <w:bCs/>
          <w:color w:val="auto"/>
        </w:rPr>
        <w:t>第六章 采购合同</w:t>
      </w:r>
      <w:r>
        <w:rPr>
          <w:rFonts w:cs="宋体"/>
          <w:b/>
          <w:bCs/>
          <w:color w:val="auto"/>
        </w:rPr>
        <w:tab/>
      </w:r>
      <w:r>
        <w:rPr>
          <w:rFonts w:cs="宋体"/>
          <w:b/>
          <w:bCs/>
          <w:color w:val="auto"/>
        </w:rPr>
        <w:fldChar w:fldCharType="begin"/>
      </w:r>
      <w:r>
        <w:rPr>
          <w:rFonts w:cs="宋体"/>
          <w:b/>
          <w:bCs/>
          <w:color w:val="auto"/>
        </w:rPr>
        <w:instrText xml:space="preserve"> PAGEREF _Toc29096 </w:instrText>
      </w:r>
      <w:r>
        <w:rPr>
          <w:rFonts w:cs="宋体"/>
          <w:b/>
          <w:bCs/>
          <w:color w:val="auto"/>
        </w:rPr>
        <w:fldChar w:fldCharType="separate"/>
      </w:r>
      <w:r>
        <w:rPr>
          <w:rFonts w:cs="宋体"/>
          <w:b/>
          <w:bCs/>
          <w:color w:val="auto"/>
        </w:rPr>
        <w:t>22</w:t>
      </w:r>
      <w:r>
        <w:rPr>
          <w:rFonts w:cs="宋体"/>
          <w:b/>
          <w:bCs/>
          <w:color w:val="auto"/>
        </w:rPr>
        <w:fldChar w:fldCharType="end"/>
      </w:r>
      <w:r>
        <w:rPr>
          <w:rFonts w:cs="宋体"/>
          <w:b/>
          <w:bCs/>
          <w:color w:val="auto"/>
        </w:rPr>
        <w:fldChar w:fldCharType="end"/>
      </w:r>
    </w:p>
    <w:p w14:paraId="31C3552B">
      <w:pPr>
        <w:pStyle w:val="13"/>
        <w:tabs>
          <w:tab w:val="right" w:leader="dot" w:pos="10120"/>
        </w:tabs>
        <w:spacing w:line="720" w:lineRule="auto"/>
        <w:ind w:left="17"/>
        <w:rPr>
          <w:rFonts w:hint="default"/>
          <w:color w:val="auto"/>
        </w:rPr>
      </w:pPr>
      <w:r>
        <w:rPr>
          <w:color w:val="auto"/>
        </w:rPr>
        <w:fldChar w:fldCharType="begin"/>
      </w:r>
      <w:r>
        <w:rPr>
          <w:color w:val="auto"/>
        </w:rPr>
        <w:instrText xml:space="preserve"> HYPERLINK \l "_Toc31089" </w:instrText>
      </w:r>
      <w:r>
        <w:rPr>
          <w:color w:val="auto"/>
        </w:rPr>
        <w:fldChar w:fldCharType="separate"/>
      </w:r>
      <w:r>
        <w:rPr>
          <w:rFonts w:cs="宋体"/>
          <w:b/>
          <w:bCs/>
          <w:color w:val="auto"/>
        </w:rPr>
        <w:t>第七章 投标文件格式</w:t>
      </w:r>
      <w:r>
        <w:rPr>
          <w:rFonts w:cs="宋体"/>
          <w:b/>
          <w:bCs/>
          <w:color w:val="auto"/>
        </w:rPr>
        <w:tab/>
      </w:r>
      <w:r>
        <w:rPr>
          <w:rFonts w:cs="宋体"/>
          <w:b/>
          <w:bCs/>
          <w:color w:val="auto"/>
        </w:rPr>
        <w:fldChar w:fldCharType="begin"/>
      </w:r>
      <w:r>
        <w:rPr>
          <w:rFonts w:cs="宋体"/>
          <w:b/>
          <w:bCs/>
          <w:color w:val="auto"/>
        </w:rPr>
        <w:instrText xml:space="preserve"> PAGEREF _Toc31089 </w:instrText>
      </w:r>
      <w:r>
        <w:rPr>
          <w:rFonts w:cs="宋体"/>
          <w:b/>
          <w:bCs/>
          <w:color w:val="auto"/>
        </w:rPr>
        <w:fldChar w:fldCharType="separate"/>
      </w:r>
      <w:r>
        <w:rPr>
          <w:rFonts w:cs="宋体"/>
          <w:b/>
          <w:bCs/>
          <w:color w:val="auto"/>
        </w:rPr>
        <w:t>25</w:t>
      </w:r>
      <w:r>
        <w:rPr>
          <w:rFonts w:cs="宋体"/>
          <w:b/>
          <w:bCs/>
          <w:color w:val="auto"/>
        </w:rPr>
        <w:fldChar w:fldCharType="end"/>
      </w:r>
      <w:r>
        <w:rPr>
          <w:rFonts w:cs="宋体"/>
          <w:b/>
          <w:bCs/>
          <w:color w:val="auto"/>
        </w:rPr>
        <w:fldChar w:fldCharType="end"/>
      </w:r>
    </w:p>
    <w:p w14:paraId="1C06F191">
      <w:pPr>
        <w:pStyle w:val="8"/>
        <w:widowControl/>
        <w:spacing w:line="720" w:lineRule="auto"/>
        <w:jc w:val="center"/>
        <w:rPr>
          <w:rFonts w:hint="default" w:ascii="宋体" w:eastAsia="宋体" w:cs="宋体"/>
          <w:bCs/>
          <w:color w:val="auto"/>
          <w:sz w:val="28"/>
          <w:szCs w:val="28"/>
        </w:rPr>
      </w:pPr>
      <w:r>
        <w:rPr>
          <w:rFonts w:ascii="宋体" w:eastAsia="宋体" w:cs="宋体"/>
          <w:bCs/>
          <w:color w:val="auto"/>
          <w:sz w:val="28"/>
          <w:szCs w:val="28"/>
        </w:rPr>
        <w:fldChar w:fldCharType="end"/>
      </w:r>
    </w:p>
    <w:p w14:paraId="6D995B42">
      <w:pPr>
        <w:spacing w:line="720" w:lineRule="auto"/>
        <w:rPr>
          <w:rFonts w:ascii="宋体" w:eastAsia="宋体" w:cs="宋体"/>
          <w:bCs/>
          <w:color w:val="auto"/>
          <w:sz w:val="28"/>
          <w:szCs w:val="28"/>
        </w:rPr>
      </w:pPr>
    </w:p>
    <w:p w14:paraId="3EA989E0">
      <w:pPr>
        <w:pStyle w:val="2"/>
        <w:spacing w:line="720" w:lineRule="auto"/>
        <w:ind w:firstLine="560"/>
        <w:rPr>
          <w:rFonts w:ascii="宋体" w:eastAsia="宋体" w:cs="宋体"/>
          <w:bCs/>
          <w:color w:val="auto"/>
          <w:sz w:val="28"/>
          <w:szCs w:val="28"/>
        </w:rPr>
      </w:pPr>
    </w:p>
    <w:p w14:paraId="6C11A941">
      <w:pPr>
        <w:pStyle w:val="5"/>
        <w:ind w:right="-21" w:firstLine="540"/>
        <w:rPr>
          <w:color w:val="auto"/>
        </w:rPr>
      </w:pPr>
    </w:p>
    <w:p w14:paraId="3F92D931">
      <w:pPr>
        <w:pStyle w:val="2"/>
        <w:ind w:firstLine="440"/>
        <w:rPr>
          <w:color w:val="auto"/>
        </w:rPr>
      </w:pPr>
    </w:p>
    <w:p w14:paraId="65E0BF79">
      <w:pPr>
        <w:pStyle w:val="8"/>
        <w:widowControl/>
        <w:spacing w:line="600" w:lineRule="auto"/>
        <w:rPr>
          <w:rFonts w:hint="default" w:ascii="宋体" w:eastAsia="宋体" w:cs="宋体"/>
          <w:color w:val="auto"/>
          <w:sz w:val="28"/>
          <w:szCs w:val="28"/>
        </w:rPr>
      </w:pPr>
    </w:p>
    <w:p w14:paraId="57D2C643">
      <w:pPr>
        <w:spacing w:line="600" w:lineRule="auto"/>
        <w:jc w:val="left"/>
        <w:rPr>
          <w:rFonts w:ascii="宋体" w:hAnsi="宋体" w:eastAsia="宋体" w:cs="宋体"/>
          <w:color w:val="auto"/>
          <w:sz w:val="28"/>
          <w:szCs w:val="28"/>
        </w:rPr>
      </w:pPr>
    </w:p>
    <w:p w14:paraId="26B41A53">
      <w:pPr>
        <w:pStyle w:val="6"/>
        <w:widowControl/>
        <w:rPr>
          <w:rFonts w:ascii="宋体" w:hAnsi="宋体" w:eastAsia="宋体" w:cs="宋体"/>
          <w:color w:val="auto"/>
          <w:sz w:val="28"/>
          <w:szCs w:val="28"/>
        </w:rPr>
      </w:pPr>
    </w:p>
    <w:p w14:paraId="7CCBCEEC">
      <w:pPr>
        <w:pStyle w:val="8"/>
        <w:jc w:val="center"/>
        <w:rPr>
          <w:rFonts w:hint="default" w:ascii="宋体" w:eastAsia="宋体" w:cs="宋体"/>
          <w:color w:val="auto"/>
          <w:sz w:val="28"/>
          <w:szCs w:val="28"/>
        </w:rPr>
      </w:pPr>
      <w:bookmarkStart w:id="6" w:name="_bookmark0"/>
      <w:bookmarkEnd w:id="6"/>
      <w:bookmarkStart w:id="7" w:name="第一章__磋商公告"/>
      <w:bookmarkEnd w:id="7"/>
      <w:bookmarkStart w:id="8" w:name="_Toc8505"/>
      <w:bookmarkStart w:id="9" w:name="_Toc15854"/>
      <w:r>
        <w:rPr>
          <w:rFonts w:ascii="宋体" w:eastAsia="宋体" w:cs="宋体"/>
          <w:color w:val="auto"/>
          <w:sz w:val="28"/>
          <w:szCs w:val="28"/>
        </w:rPr>
        <w:t>第一章 竞争性磋商公告</w:t>
      </w:r>
      <w:bookmarkEnd w:id="8"/>
      <w:bookmarkEnd w:id="9"/>
    </w:p>
    <w:p w14:paraId="7075D735">
      <w:pPr>
        <w:pStyle w:val="8"/>
        <w:widowControl/>
        <w:spacing w:line="360" w:lineRule="exact"/>
        <w:ind w:firstLine="253" w:firstLineChars="100"/>
        <w:jc w:val="center"/>
        <w:rPr>
          <w:rFonts w:hint="default" w:ascii="宋体" w:eastAsia="宋体" w:cs="宋体"/>
          <w:color w:val="auto"/>
          <w:sz w:val="28"/>
          <w:szCs w:val="28"/>
        </w:rPr>
      </w:pPr>
      <w:bookmarkStart w:id="10" w:name="_Toc12763"/>
      <w:bookmarkStart w:id="11" w:name="_Toc529"/>
      <w:bookmarkStart w:id="12" w:name="_Toc10448"/>
      <w:bookmarkStart w:id="13" w:name="_Toc31613"/>
      <w:r>
        <w:rPr>
          <w:rFonts w:hint="eastAsia" w:ascii="宋体" w:eastAsia="宋体" w:cs="宋体"/>
          <w:color w:val="auto"/>
          <w:w w:val="90"/>
          <w:sz w:val="28"/>
          <w:szCs w:val="28"/>
          <w:lang w:eastAsia="zh-CN"/>
        </w:rPr>
        <w:t>淮南市</w:t>
      </w:r>
      <w:r>
        <w:rPr>
          <w:rFonts w:hint="eastAsia" w:ascii="宋体" w:eastAsia="宋体" w:cs="宋体"/>
          <w:color w:val="auto"/>
          <w:w w:val="90"/>
          <w:sz w:val="28"/>
          <w:szCs w:val="28"/>
          <w:lang w:val="en-US" w:eastAsia="zh-CN"/>
        </w:rPr>
        <w:t>应急管理局</w:t>
      </w:r>
      <w:r>
        <w:rPr>
          <w:rFonts w:hint="eastAsia" w:ascii="宋体" w:eastAsia="宋体" w:cs="宋体"/>
          <w:color w:val="auto"/>
          <w:w w:val="90"/>
          <w:sz w:val="28"/>
          <w:szCs w:val="28"/>
          <w:lang w:eastAsia="zh-CN"/>
        </w:rPr>
        <w:t>信息化运维服务项目</w:t>
      </w:r>
      <w:r>
        <w:rPr>
          <w:rFonts w:ascii="宋体" w:eastAsia="宋体" w:cs="宋体"/>
          <w:color w:val="auto"/>
          <w:w w:val="90"/>
          <w:sz w:val="28"/>
          <w:szCs w:val="28"/>
        </w:rPr>
        <w:t>竞争性磋商公告</w:t>
      </w:r>
      <w:bookmarkEnd w:id="10"/>
      <w:bookmarkEnd w:id="11"/>
      <w:bookmarkEnd w:id="12"/>
      <w:bookmarkEnd w:id="13"/>
    </w:p>
    <w:p w14:paraId="65F63202">
      <w:pPr>
        <w:keepNext w:val="0"/>
        <w:keepLines w:val="0"/>
        <w:pageBreakBefore w:val="0"/>
        <w:kinsoku/>
        <w:overflowPunct/>
        <w:autoSpaceDN/>
        <w:bidi w:val="0"/>
        <w:snapToGrid/>
        <w:spacing w:line="400" w:lineRule="exact"/>
        <w:ind w:firstLine="480" w:firstLineChars="200"/>
        <w:rPr>
          <w:rFonts w:hint="eastAsia" w:ascii="宋体" w:hAnsi="宋体" w:eastAsia="宋体" w:cs="宋体"/>
          <w:color w:val="auto"/>
          <w:sz w:val="24"/>
        </w:rPr>
      </w:pPr>
      <w:bookmarkStart w:id="14" w:name="_bookmark1"/>
      <w:bookmarkEnd w:id="14"/>
      <w:bookmarkStart w:id="15" w:name="第二章_投标须知前附表及投标须知"/>
      <w:bookmarkEnd w:id="15"/>
      <w:bookmarkStart w:id="16" w:name="_Toc35393798"/>
      <w:bookmarkStart w:id="17" w:name="_Toc28359089"/>
      <w:bookmarkStart w:id="18" w:name="_Toc28359012"/>
      <w:bookmarkStart w:id="19" w:name="_Toc35393629"/>
      <w:bookmarkStart w:id="20" w:name="_Toc28359079"/>
      <w:bookmarkStart w:id="21" w:name="_Toc28359002"/>
      <w:bookmarkStart w:id="22" w:name="_Toc35393621"/>
      <w:bookmarkStart w:id="23" w:name="_Hlk24379207"/>
      <w:bookmarkStart w:id="24" w:name="_Toc35393790"/>
      <w:bookmarkStart w:id="25" w:name="_Toc18025"/>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pacing w:val="-4"/>
          <w:sz w:val="24"/>
          <w:u w:val="single"/>
          <w:lang w:eastAsia="zh-CN"/>
        </w:rPr>
        <w:t>淮南市</w:t>
      </w:r>
      <w:r>
        <w:rPr>
          <w:rFonts w:hint="eastAsia" w:ascii="宋体" w:hAnsi="宋体" w:eastAsia="宋体" w:cs="宋体"/>
          <w:b/>
          <w:bCs/>
          <w:color w:val="auto"/>
          <w:spacing w:val="-4"/>
          <w:sz w:val="24"/>
          <w:u w:val="single"/>
          <w:lang w:val="en-US" w:eastAsia="zh-CN"/>
        </w:rPr>
        <w:t>应急管理</w:t>
      </w:r>
      <w:r>
        <w:rPr>
          <w:rFonts w:hint="eastAsia" w:ascii="宋体" w:hAnsi="宋体" w:eastAsia="宋体" w:cs="宋体"/>
          <w:b/>
          <w:bCs/>
          <w:color w:val="auto"/>
          <w:spacing w:val="-4"/>
          <w:sz w:val="24"/>
          <w:u w:val="single"/>
          <w:lang w:eastAsia="zh-CN"/>
        </w:rPr>
        <w:t>局信息化运维服务项目</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rPr>
        <w:t>进行</w:t>
      </w:r>
      <w:r>
        <w:rPr>
          <w:rFonts w:hint="eastAsia" w:ascii="宋体" w:hAnsi="宋体" w:eastAsia="宋体" w:cs="宋体"/>
          <w:color w:val="auto"/>
          <w:sz w:val="24"/>
          <w:szCs w:val="24"/>
          <w:lang w:eastAsia="zh-CN"/>
        </w:rPr>
        <w:t>竞争性磋商采购</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欢迎符合条件</w:t>
      </w:r>
      <w:r>
        <w:rPr>
          <w:rFonts w:hint="eastAsia" w:ascii="宋体" w:hAnsi="宋体" w:eastAsia="宋体" w:cs="宋体"/>
          <w:color w:val="auto"/>
          <w:sz w:val="24"/>
          <w:szCs w:val="24"/>
        </w:rPr>
        <w:t>供应商前来</w:t>
      </w:r>
      <w:r>
        <w:rPr>
          <w:rFonts w:hint="eastAsia" w:ascii="宋体" w:hAnsi="宋体" w:eastAsia="宋体" w:cs="宋体"/>
          <w:color w:val="auto"/>
          <w:sz w:val="24"/>
          <w:szCs w:val="24"/>
          <w:lang w:eastAsia="zh-CN"/>
        </w:rPr>
        <w:t>参加磋商</w:t>
      </w:r>
      <w:r>
        <w:rPr>
          <w:rFonts w:hint="eastAsia" w:ascii="宋体" w:hAnsi="宋体" w:eastAsia="宋体" w:cs="宋体"/>
          <w:color w:val="auto"/>
          <w:sz w:val="24"/>
          <w:szCs w:val="24"/>
        </w:rPr>
        <w:t>。</w:t>
      </w:r>
    </w:p>
    <w:p w14:paraId="13BFCC3B">
      <w:pPr>
        <w:keepNext w:val="0"/>
        <w:keepLines w:val="0"/>
        <w:pageBreakBefore w:val="0"/>
        <w:kinsoku/>
        <w:overflowPunct/>
        <w:autoSpaceDN/>
        <w:bidi w:val="0"/>
        <w:snapToGrid/>
        <w:spacing w:line="400" w:lineRule="exact"/>
        <w:rPr>
          <w:rFonts w:hint="eastAsia" w:ascii="宋体" w:hAnsi="宋体" w:eastAsia="宋体" w:cs="宋体"/>
          <w:color w:val="auto"/>
          <w:sz w:val="24"/>
        </w:rPr>
      </w:pPr>
      <w:r>
        <w:rPr>
          <w:rFonts w:hint="eastAsia" w:ascii="宋体" w:hAnsi="宋体" w:eastAsia="宋体" w:cs="宋体"/>
          <w:color w:val="auto"/>
          <w:sz w:val="24"/>
        </w:rPr>
        <w:t>一</w:t>
      </w:r>
      <w:r>
        <w:rPr>
          <w:rFonts w:hint="eastAsia" w:ascii="宋体" w:hAnsi="宋体" w:eastAsia="宋体" w:cs="宋体"/>
          <w:b/>
          <w:bCs/>
          <w:color w:val="auto"/>
          <w:sz w:val="24"/>
        </w:rPr>
        <w:t>、项目基本情况</w:t>
      </w:r>
      <w:bookmarkEnd w:id="16"/>
      <w:bookmarkEnd w:id="17"/>
      <w:bookmarkEnd w:id="18"/>
      <w:bookmarkEnd w:id="19"/>
    </w:p>
    <w:p w14:paraId="4B415F70">
      <w:pPr>
        <w:keepNext w:val="0"/>
        <w:keepLines w:val="0"/>
        <w:pageBreakBefore w:val="0"/>
        <w:kinsoku/>
        <w:wordWrap w:val="0"/>
        <w:overflowPunct/>
        <w:autoSpaceDN/>
        <w:bidi w:val="0"/>
        <w:snapToGrid/>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、项目名称：</w:t>
      </w:r>
      <w:r>
        <w:rPr>
          <w:rFonts w:hint="eastAsia" w:ascii="宋体" w:hAnsi="宋体" w:eastAsia="宋体" w:cs="宋体"/>
          <w:color w:val="auto"/>
          <w:spacing w:val="-4"/>
          <w:sz w:val="24"/>
          <w:lang w:eastAsia="zh-CN"/>
        </w:rPr>
        <w:t>淮南市</w:t>
      </w:r>
      <w:r>
        <w:rPr>
          <w:rFonts w:hint="eastAsia" w:ascii="宋体" w:hAnsi="宋体" w:eastAsia="宋体" w:cs="宋体"/>
          <w:color w:val="auto"/>
          <w:spacing w:val="-4"/>
          <w:sz w:val="24"/>
          <w:lang w:val="en-US" w:eastAsia="zh-CN"/>
        </w:rPr>
        <w:t>应急管理局</w:t>
      </w:r>
      <w:r>
        <w:rPr>
          <w:rFonts w:hint="eastAsia" w:ascii="宋体" w:hAnsi="宋体" w:eastAsia="宋体" w:cs="宋体"/>
          <w:color w:val="auto"/>
          <w:spacing w:val="-4"/>
          <w:sz w:val="24"/>
          <w:lang w:eastAsia="zh-CN"/>
        </w:rPr>
        <w:t>信息化运维服务项目</w:t>
      </w:r>
      <w:r>
        <w:rPr>
          <w:rFonts w:hint="eastAsia" w:ascii="宋体" w:hAnsi="宋体" w:eastAsia="宋体" w:cs="宋体"/>
          <w:color w:val="auto"/>
          <w:spacing w:val="-4"/>
          <w:sz w:val="24"/>
        </w:rPr>
        <w:t xml:space="preserve">   </w:t>
      </w:r>
    </w:p>
    <w:p w14:paraId="66DEBA2A">
      <w:pPr>
        <w:keepNext w:val="0"/>
        <w:keepLines w:val="0"/>
        <w:pageBreakBefore w:val="0"/>
        <w:kinsoku/>
        <w:overflowPunct/>
        <w:autoSpaceDN/>
        <w:bidi w:val="0"/>
        <w:snapToGrid/>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、预算金额：</w:t>
      </w:r>
      <w:r>
        <w:rPr>
          <w:rFonts w:hint="eastAsia" w:ascii="宋体" w:hAnsi="宋体" w:eastAsia="宋体" w:cs="宋体"/>
          <w:color w:val="auto"/>
          <w:sz w:val="24"/>
          <w:lang w:val="en-US" w:eastAsia="zh-CN"/>
        </w:rPr>
        <w:t>8</w:t>
      </w:r>
      <w:r>
        <w:rPr>
          <w:rFonts w:hint="eastAsia" w:ascii="宋体" w:hAnsi="宋体" w:eastAsia="宋体" w:cs="宋体"/>
          <w:color w:val="auto"/>
          <w:sz w:val="24"/>
          <w:lang w:eastAsia="zh-CN"/>
        </w:rPr>
        <w:t>0000</w:t>
      </w:r>
      <w:r>
        <w:rPr>
          <w:rFonts w:hint="eastAsia" w:ascii="宋体" w:hAnsi="宋体" w:eastAsia="宋体" w:cs="宋体"/>
          <w:color w:val="auto"/>
          <w:sz w:val="24"/>
        </w:rPr>
        <w:t>元</w:t>
      </w:r>
    </w:p>
    <w:p w14:paraId="3737CE80">
      <w:pPr>
        <w:keepNext w:val="0"/>
        <w:keepLines w:val="0"/>
        <w:pageBreakBefore w:val="0"/>
        <w:kinsoku/>
        <w:overflowPunct/>
        <w:autoSpaceDN/>
        <w:bidi w:val="0"/>
        <w:snapToGrid/>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、最高限价：</w:t>
      </w:r>
      <w:r>
        <w:rPr>
          <w:rFonts w:hint="eastAsia" w:ascii="宋体" w:hAnsi="宋体" w:eastAsia="宋体" w:cs="宋体"/>
          <w:color w:val="auto"/>
          <w:sz w:val="24"/>
          <w:lang w:val="en-US" w:eastAsia="zh-CN"/>
        </w:rPr>
        <w:t>8</w:t>
      </w:r>
      <w:r>
        <w:rPr>
          <w:rFonts w:hint="eastAsia" w:ascii="宋体" w:hAnsi="宋体" w:eastAsia="宋体" w:cs="宋体"/>
          <w:color w:val="auto"/>
          <w:sz w:val="24"/>
          <w:lang w:eastAsia="zh-CN"/>
        </w:rPr>
        <w:t>0000</w:t>
      </w:r>
      <w:r>
        <w:rPr>
          <w:rFonts w:hint="eastAsia" w:ascii="宋体" w:hAnsi="宋体" w:eastAsia="宋体" w:cs="宋体"/>
          <w:color w:val="auto"/>
          <w:sz w:val="24"/>
        </w:rPr>
        <w:t>元</w:t>
      </w:r>
    </w:p>
    <w:p w14:paraId="582AAF87">
      <w:pPr>
        <w:keepNext w:val="0"/>
        <w:keepLines w:val="0"/>
        <w:pageBreakBefore w:val="0"/>
        <w:numPr>
          <w:ilvl w:val="0"/>
          <w:numId w:val="0"/>
        </w:numPr>
        <w:kinsoku/>
        <w:overflowPunct/>
        <w:autoSpaceDN/>
        <w:bidi w:val="0"/>
        <w:snapToGrid/>
        <w:spacing w:before="0" w:beforeAutospacing="0" w:after="0" w:afterAutospacing="0" w:line="400" w:lineRule="exact"/>
        <w:ind w:firstLine="240" w:firstLineChars="100"/>
        <w:jc w:val="both"/>
        <w:textAlignment w:val="baseline"/>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、采购需求：</w:t>
      </w:r>
      <w:r>
        <w:rPr>
          <w:rFonts w:hint="eastAsia" w:ascii="宋体" w:hAnsi="宋体" w:eastAsia="宋体" w:cs="宋体"/>
          <w:b w:val="0"/>
          <w:i w:val="0"/>
          <w:caps w:val="0"/>
          <w:color w:val="auto"/>
          <w:spacing w:val="0"/>
          <w:w w:val="100"/>
          <w:sz w:val="24"/>
          <w:szCs w:val="24"/>
        </w:rPr>
        <w:t>对</w:t>
      </w:r>
      <w:r>
        <w:rPr>
          <w:rFonts w:hint="eastAsia" w:ascii="宋体" w:hAnsi="宋体" w:eastAsia="宋体" w:cs="宋体"/>
          <w:b w:val="0"/>
          <w:i w:val="0"/>
          <w:caps w:val="0"/>
          <w:color w:val="auto"/>
          <w:spacing w:val="0"/>
          <w:w w:val="100"/>
          <w:sz w:val="24"/>
          <w:szCs w:val="24"/>
          <w:lang w:val="en-US" w:eastAsia="zh-CN"/>
        </w:rPr>
        <w:t>市应急局机关办公设备与设备间、弱电井设备进行巡检，出具巡检报告；协助设备厂商与网络运营商对故障设备进行维修。清洁设备间环境卫生，详见采购需求及磋商文件</w:t>
      </w:r>
      <w:r>
        <w:rPr>
          <w:rFonts w:hint="eastAsia" w:ascii="宋体" w:hAnsi="宋体" w:eastAsia="宋体" w:cs="宋体"/>
          <w:b w:val="0"/>
          <w:i w:val="0"/>
          <w:caps w:val="0"/>
          <w:color w:val="auto"/>
          <w:spacing w:val="0"/>
          <w:w w:val="100"/>
          <w:sz w:val="24"/>
          <w:szCs w:val="24"/>
          <w:lang w:val="en-US" w:eastAsia="zh-CN"/>
        </w:rPr>
        <w:tab/>
      </w:r>
      <w:r>
        <w:rPr>
          <w:rFonts w:hint="eastAsia" w:ascii="宋体" w:hAnsi="宋体" w:eastAsia="宋体" w:cs="宋体"/>
          <w:b w:val="0"/>
          <w:i w:val="0"/>
          <w:caps w:val="0"/>
          <w:color w:val="auto"/>
          <w:spacing w:val="0"/>
          <w:w w:val="100"/>
          <w:sz w:val="24"/>
          <w:szCs w:val="24"/>
          <w:lang w:val="en-US" w:eastAsia="zh-CN"/>
        </w:rPr>
        <w:tab/>
      </w:r>
      <w:r>
        <w:rPr>
          <w:rFonts w:hint="eastAsia" w:ascii="宋体" w:hAnsi="宋体" w:eastAsia="宋体" w:cs="宋体"/>
          <w:b w:val="0"/>
          <w:i w:val="0"/>
          <w:caps w:val="0"/>
          <w:color w:val="auto"/>
          <w:spacing w:val="0"/>
          <w:w w:val="100"/>
          <w:sz w:val="24"/>
          <w:szCs w:val="24"/>
          <w:lang w:val="en-US" w:eastAsia="zh-CN"/>
        </w:rPr>
        <w:tab/>
      </w:r>
      <w:r>
        <w:rPr>
          <w:rFonts w:hint="eastAsia" w:ascii="宋体" w:hAnsi="宋体" w:eastAsia="宋体" w:cs="宋体"/>
          <w:b w:val="0"/>
          <w:i w:val="0"/>
          <w:caps w:val="0"/>
          <w:color w:val="auto"/>
          <w:spacing w:val="0"/>
          <w:w w:val="100"/>
          <w:sz w:val="24"/>
          <w:szCs w:val="24"/>
          <w:lang w:val="en-US" w:eastAsia="zh-CN"/>
        </w:rPr>
        <w:tab/>
      </w:r>
      <w:r>
        <w:rPr>
          <w:rFonts w:hint="eastAsia" w:ascii="宋体" w:hAnsi="宋体" w:eastAsia="宋体" w:cs="宋体"/>
          <w:b w:val="0"/>
          <w:i w:val="0"/>
          <w:caps w:val="0"/>
          <w:color w:val="auto"/>
          <w:spacing w:val="0"/>
          <w:w w:val="100"/>
          <w:sz w:val="24"/>
          <w:szCs w:val="24"/>
          <w:lang w:val="en-US" w:eastAsia="zh-CN"/>
        </w:rPr>
        <w:tab/>
      </w:r>
      <w:r>
        <w:rPr>
          <w:rFonts w:hint="eastAsia" w:ascii="宋体" w:hAnsi="宋体" w:eastAsia="宋体" w:cs="宋体"/>
          <w:b w:val="0"/>
          <w:i w:val="0"/>
          <w:caps w:val="0"/>
          <w:color w:val="auto"/>
          <w:spacing w:val="0"/>
          <w:w w:val="100"/>
          <w:sz w:val="24"/>
          <w:szCs w:val="24"/>
          <w:lang w:val="en-US" w:eastAsia="zh-CN"/>
        </w:rPr>
        <w:t>。</w:t>
      </w:r>
    </w:p>
    <w:p w14:paraId="3EE99260">
      <w:pPr>
        <w:keepNext w:val="0"/>
        <w:keepLines w:val="0"/>
        <w:pageBreakBefore w:val="0"/>
        <w:kinsoku/>
        <w:overflowPunct/>
        <w:autoSpaceDN/>
        <w:bidi w:val="0"/>
        <w:snapToGrid/>
        <w:spacing w:line="400" w:lineRule="exact"/>
        <w:ind w:firstLine="240" w:firstLineChars="100"/>
        <w:rPr>
          <w:rFonts w:hint="eastAsia" w:ascii="宋体" w:hAnsi="宋体" w:eastAsia="宋体" w:cs="宋体"/>
          <w:color w:val="auto"/>
          <w:sz w:val="24"/>
        </w:rPr>
      </w:pP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、采购方式：竞争性磋商</w:t>
      </w:r>
    </w:p>
    <w:p w14:paraId="267C50F7">
      <w:pPr>
        <w:keepNext w:val="0"/>
        <w:keepLines w:val="0"/>
        <w:pageBreakBefore w:val="0"/>
        <w:kinsoku/>
        <w:overflowPunct/>
        <w:autoSpaceDN/>
        <w:bidi w:val="0"/>
        <w:snapToGrid/>
        <w:spacing w:line="400" w:lineRule="exact"/>
        <w:ind w:firstLine="240" w:firstLineChars="1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6</w:t>
      </w:r>
      <w:r>
        <w:rPr>
          <w:rFonts w:hint="eastAsia" w:ascii="宋体" w:hAnsi="宋体" w:eastAsia="宋体" w:cs="宋体"/>
          <w:color w:val="auto"/>
          <w:sz w:val="24"/>
        </w:rPr>
        <w:t>、</w:t>
      </w:r>
      <w:r>
        <w:rPr>
          <w:rFonts w:hint="eastAsia" w:ascii="宋体" w:hAnsi="宋体" w:eastAsia="宋体" w:cs="宋体"/>
          <w:color w:val="auto"/>
          <w:sz w:val="24"/>
          <w:lang w:eastAsia="zh-CN"/>
        </w:rPr>
        <w:t>服务</w:t>
      </w:r>
      <w:r>
        <w:rPr>
          <w:rFonts w:hint="eastAsia" w:ascii="宋体" w:hAnsi="宋体" w:eastAsia="宋体" w:cs="宋体"/>
          <w:color w:val="auto"/>
          <w:sz w:val="24"/>
        </w:rPr>
        <w:t>期：</w:t>
      </w:r>
      <w:r>
        <w:rPr>
          <w:rFonts w:hint="eastAsia" w:ascii="宋体" w:hAnsi="宋体" w:eastAsia="宋体" w:cs="宋体"/>
          <w:color w:val="auto"/>
          <w:sz w:val="24"/>
          <w:lang w:eastAsia="zh-CN"/>
        </w:rPr>
        <w:t>一年（</w:t>
      </w:r>
      <w:r>
        <w:rPr>
          <w:rFonts w:hint="eastAsia" w:ascii="宋体" w:hAnsi="宋体" w:eastAsia="宋体" w:cs="宋体"/>
          <w:color w:val="auto"/>
          <w:sz w:val="24"/>
          <w:lang w:val="en-US" w:eastAsia="zh-CN"/>
        </w:rPr>
        <w:t>1+1+1共三年</w:t>
      </w:r>
      <w:r>
        <w:rPr>
          <w:rFonts w:hint="eastAsia" w:ascii="宋体" w:hAnsi="宋体" w:eastAsia="宋体" w:cs="宋体"/>
          <w:color w:val="auto"/>
          <w:sz w:val="24"/>
          <w:lang w:eastAsia="zh-CN"/>
        </w:rPr>
        <w:t>）</w:t>
      </w:r>
    </w:p>
    <w:p w14:paraId="512157E9">
      <w:pPr>
        <w:keepNext w:val="0"/>
        <w:keepLines w:val="0"/>
        <w:pageBreakBefore w:val="0"/>
        <w:kinsoku/>
        <w:overflowPunct/>
        <w:autoSpaceDN/>
        <w:bidi w:val="0"/>
        <w:snapToGrid/>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 xml:space="preserve">、本项目不接受联合体 </w:t>
      </w:r>
    </w:p>
    <w:p w14:paraId="548F4BCB">
      <w:pPr>
        <w:pStyle w:val="14"/>
        <w:keepNext w:val="0"/>
        <w:keepLines w:val="0"/>
        <w:pageBreakBefore w:val="0"/>
        <w:kinsoku/>
        <w:overflowPunct/>
        <w:autoSpaceDE w:val="0"/>
        <w:autoSpaceDN/>
        <w:bidi w:val="0"/>
        <w:snapToGrid/>
        <w:spacing w:beforeAutospacing="0" w:afterAutospacing="0" w:line="400" w:lineRule="exact"/>
        <w:jc w:val="both"/>
        <w:rPr>
          <w:rFonts w:hint="eastAsia" w:ascii="宋体" w:hAnsi="宋体" w:eastAsia="宋体" w:cs="宋体"/>
          <w:color w:val="auto"/>
          <w:szCs w:val="24"/>
        </w:rPr>
      </w:pPr>
      <w:bookmarkStart w:id="26" w:name="_Toc35393799"/>
      <w:bookmarkStart w:id="27" w:name="_Toc28359090"/>
      <w:bookmarkStart w:id="28" w:name="_Toc35393630"/>
      <w:bookmarkStart w:id="29" w:name="_Toc28359013"/>
      <w:r>
        <w:rPr>
          <w:rFonts w:hint="eastAsia" w:ascii="宋体" w:hAnsi="宋体" w:eastAsia="宋体" w:cs="宋体"/>
          <w:b/>
          <w:bCs/>
          <w:color w:val="auto"/>
          <w:szCs w:val="24"/>
        </w:rPr>
        <w:t>二、申请人的资格要求</w:t>
      </w:r>
      <w:r>
        <w:rPr>
          <w:rFonts w:hint="eastAsia" w:ascii="宋体" w:hAnsi="宋体" w:eastAsia="宋体" w:cs="宋体"/>
          <w:color w:val="auto"/>
          <w:szCs w:val="24"/>
        </w:rPr>
        <w:t>：</w:t>
      </w:r>
      <w:bookmarkEnd w:id="26"/>
      <w:bookmarkEnd w:id="27"/>
      <w:bookmarkEnd w:id="28"/>
      <w:bookmarkEnd w:id="29"/>
    </w:p>
    <w:p w14:paraId="55D0A54A">
      <w:pPr>
        <w:keepNext w:val="0"/>
        <w:keepLines w:val="0"/>
        <w:pageBreakBefore w:val="0"/>
        <w:kinsoku/>
        <w:overflowPunct/>
        <w:autoSpaceDN/>
        <w:bidi w:val="0"/>
        <w:snapToGrid/>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1、满足《中华人民共和国政府采购法》第二十二条规定；</w:t>
      </w:r>
    </w:p>
    <w:p w14:paraId="4098E4A1">
      <w:pPr>
        <w:keepNext w:val="0"/>
        <w:keepLines w:val="0"/>
        <w:pageBreakBefore w:val="0"/>
        <w:kinsoku/>
        <w:overflowPunct/>
        <w:autoSpaceDN/>
        <w:bidi w:val="0"/>
        <w:snapToGrid/>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2、落实政府采购政策需满足的资格要求：根据《政府采购促进中小企业发展管理办法》财库〔2020〕46号规定，评审时给予小微企业报价6%的价格扣除，用扣除后的价格参与评审，需提供《中小企业声明函》；</w:t>
      </w:r>
    </w:p>
    <w:p w14:paraId="62F60D6B">
      <w:pPr>
        <w:keepNext w:val="0"/>
        <w:keepLines w:val="0"/>
        <w:pageBreakBefore w:val="0"/>
        <w:kinsoku/>
        <w:overflowPunct/>
        <w:autoSpaceDN/>
        <w:bidi w:val="0"/>
        <w:snapToGrid/>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3、本项目的特定资格要求：</w:t>
      </w:r>
    </w:p>
    <w:p w14:paraId="252836A3">
      <w:pPr>
        <w:keepNext w:val="0"/>
        <w:keepLines w:val="0"/>
        <w:pageBreakBefore w:val="0"/>
        <w:kinsoku/>
        <w:overflowPunct/>
        <w:autoSpaceDN/>
        <w:bidi w:val="0"/>
        <w:snapToGrid/>
        <w:spacing w:line="400" w:lineRule="exact"/>
        <w:rPr>
          <w:rFonts w:hint="eastAsia" w:ascii="宋体" w:hAnsi="宋体" w:eastAsia="宋体" w:cs="宋体"/>
          <w:color w:val="auto"/>
          <w:sz w:val="24"/>
        </w:rPr>
      </w:pPr>
      <w:r>
        <w:rPr>
          <w:rFonts w:hint="eastAsia" w:ascii="宋体" w:hAnsi="宋体" w:eastAsia="宋体" w:cs="宋体"/>
          <w:color w:val="auto"/>
          <w:sz w:val="24"/>
        </w:rPr>
        <w:t>供应商存在以下不良信用记录情形之一的，不得推荐为成交候选供应商，不得确定为成交供应商：</w:t>
      </w:r>
    </w:p>
    <w:p w14:paraId="3A2249EB">
      <w:pPr>
        <w:keepNext w:val="0"/>
        <w:keepLines w:val="0"/>
        <w:pageBreakBefore w:val="0"/>
        <w:kinsoku/>
        <w:overflowPunct/>
        <w:autoSpaceDN/>
        <w:bidi w:val="0"/>
        <w:snapToGrid/>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①供应商被人民法院列入失信被执行人的；</w:t>
      </w:r>
    </w:p>
    <w:p w14:paraId="3BA458F1">
      <w:pPr>
        <w:keepNext w:val="0"/>
        <w:keepLines w:val="0"/>
        <w:pageBreakBefore w:val="0"/>
        <w:kinsoku/>
        <w:overflowPunct/>
        <w:autoSpaceDN/>
        <w:bidi w:val="0"/>
        <w:snapToGrid/>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②供应商或其法定代表人(单位负责人）或拟派项目经理（项目负责人）被人民检察院列入行贿犯罪档案的；</w:t>
      </w:r>
    </w:p>
    <w:p w14:paraId="2F2F1E67">
      <w:pPr>
        <w:keepNext w:val="0"/>
        <w:keepLines w:val="0"/>
        <w:pageBreakBefore w:val="0"/>
        <w:kinsoku/>
        <w:overflowPunct/>
        <w:autoSpaceDN/>
        <w:bidi w:val="0"/>
        <w:snapToGrid/>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③供应商被工商行政管理部门（市场监督管理局）列入企业经营异常名录的；</w:t>
      </w:r>
    </w:p>
    <w:p w14:paraId="2EA32D34">
      <w:pPr>
        <w:keepNext w:val="0"/>
        <w:keepLines w:val="0"/>
        <w:pageBreakBefore w:val="0"/>
        <w:kinsoku/>
        <w:overflowPunct/>
        <w:autoSpaceDN/>
        <w:bidi w:val="0"/>
        <w:snapToGrid/>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④供应商被税务部门列入重大税收违法案件当事人名单的；</w:t>
      </w:r>
    </w:p>
    <w:p w14:paraId="3A13E1F8">
      <w:pPr>
        <w:keepNext w:val="0"/>
        <w:keepLines w:val="0"/>
        <w:pageBreakBefore w:val="0"/>
        <w:kinsoku/>
        <w:overflowPunct/>
        <w:autoSpaceDN/>
        <w:bidi w:val="0"/>
        <w:snapToGrid/>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⑤供应商被政府采购监管部门列入政府采购严重违法失信行为记录名单的；</w:t>
      </w:r>
    </w:p>
    <w:p w14:paraId="16DCDBCE">
      <w:pPr>
        <w:keepNext w:val="0"/>
        <w:keepLines w:val="0"/>
        <w:pageBreakBefore w:val="0"/>
        <w:kinsoku/>
        <w:overflowPunct/>
        <w:autoSpaceDN/>
        <w:bidi w:val="0"/>
        <w:snapToGrid/>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4、法定代表人(单位负责人）为同一个人的两个及两个以上法人(单位负责人），母公司、全资子公司及其控股公司，不得对本项目同时投标；</w:t>
      </w:r>
    </w:p>
    <w:p w14:paraId="4B5DF5D3">
      <w:pPr>
        <w:keepNext w:val="0"/>
        <w:keepLines w:val="0"/>
        <w:pageBreakBefore w:val="0"/>
        <w:kinsoku/>
        <w:overflowPunct/>
        <w:autoSpaceDN/>
        <w:bidi w:val="0"/>
        <w:snapToGrid/>
        <w:spacing w:line="400" w:lineRule="exact"/>
        <w:rPr>
          <w:rFonts w:hint="eastAsia" w:ascii="宋体" w:hAnsi="宋体" w:eastAsia="宋体" w:cs="宋体"/>
          <w:b/>
          <w:bCs/>
          <w:color w:val="auto"/>
          <w:sz w:val="24"/>
        </w:rPr>
      </w:pPr>
      <w:r>
        <w:rPr>
          <w:rFonts w:hint="eastAsia" w:ascii="宋体" w:hAnsi="宋体" w:eastAsia="宋体" w:cs="宋体"/>
          <w:b/>
          <w:bCs/>
          <w:color w:val="auto"/>
          <w:sz w:val="24"/>
        </w:rPr>
        <w:t xml:space="preserve">三、报名及磋商文件发售办法 </w:t>
      </w:r>
    </w:p>
    <w:bookmarkEnd w:id="20"/>
    <w:bookmarkEnd w:id="21"/>
    <w:bookmarkEnd w:id="22"/>
    <w:bookmarkEnd w:id="23"/>
    <w:bookmarkEnd w:id="24"/>
    <w:p w14:paraId="26995A4F">
      <w:pPr>
        <w:keepNext w:val="0"/>
        <w:keepLines w:val="0"/>
        <w:pageBreakBefore w:val="0"/>
        <w:kinsoku/>
        <w:wordWrap/>
        <w:overflowPunct/>
        <w:autoSpaceDE/>
        <w:autoSpaceDN/>
        <w:bidi w:val="0"/>
        <w:snapToGrid/>
        <w:spacing w:line="400" w:lineRule="exact"/>
        <w:ind w:left="0" w:leftChars="0" w:firstLine="218" w:firstLineChars="91"/>
        <w:textAlignment w:val="auto"/>
        <w:rPr>
          <w:rFonts w:hint="eastAsia" w:ascii="宋体" w:hAnsi="宋体" w:eastAsia="宋体" w:cs="宋体"/>
          <w:b w:val="0"/>
          <w:bCs w:val="0"/>
          <w:color w:val="auto"/>
          <w:kern w:val="0"/>
          <w:sz w:val="24"/>
          <w:szCs w:val="24"/>
          <w:lang w:val="en-US" w:eastAsia="zh-CN" w:bidi="ar-SA"/>
        </w:rPr>
      </w:pPr>
      <w:bookmarkStart w:id="30" w:name="_Toc35393804"/>
      <w:bookmarkStart w:id="31" w:name="_Toc35393635"/>
      <w:r>
        <w:rPr>
          <w:rFonts w:hint="eastAsia" w:ascii="宋体" w:hAnsi="宋体" w:eastAsia="宋体" w:cs="宋体"/>
          <w:color w:val="auto"/>
          <w:sz w:val="24"/>
          <w:szCs w:val="24"/>
        </w:rPr>
        <w:t>1、报名时间：</w:t>
      </w:r>
      <w:r>
        <w:rPr>
          <w:rFonts w:hint="eastAsia" w:ascii="宋体" w:hAnsi="宋体" w:eastAsia="宋体" w:cs="宋体"/>
          <w:b w:val="0"/>
          <w:bCs w:val="0"/>
          <w:color w:val="auto"/>
          <w:kern w:val="0"/>
          <w:sz w:val="24"/>
          <w:szCs w:val="24"/>
          <w:lang w:val="en-US" w:eastAsia="zh-CN" w:bidi="ar-SA"/>
        </w:rPr>
        <w:t>自公告发布起至投标截止时间</w:t>
      </w:r>
    </w:p>
    <w:p w14:paraId="0F4EE712">
      <w:pPr>
        <w:keepNext w:val="0"/>
        <w:keepLines w:val="0"/>
        <w:pageBreakBefore w:val="0"/>
        <w:widowControl/>
        <w:kinsoku/>
        <w:wordWrap/>
        <w:overflowPunct/>
        <w:topLinePunct w:val="0"/>
        <w:autoSpaceDE/>
        <w:autoSpaceDN/>
        <w:bidi w:val="0"/>
        <w:snapToGrid/>
        <w:spacing w:line="400" w:lineRule="exact"/>
        <w:ind w:left="0" w:leftChars="0" w:firstLine="218" w:firstLineChars="91"/>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2、报名</w:t>
      </w:r>
      <w:r>
        <w:rPr>
          <w:rFonts w:hint="eastAsia" w:ascii="宋体" w:hAnsi="宋体" w:eastAsia="宋体" w:cs="宋体"/>
          <w:color w:val="auto"/>
          <w:sz w:val="24"/>
          <w:szCs w:val="24"/>
          <w:lang w:eastAsia="zh-CN"/>
        </w:rPr>
        <w:t>地点</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淮南市应急管理局</w:t>
      </w:r>
    </w:p>
    <w:p w14:paraId="762012F0">
      <w:pPr>
        <w:keepNext w:val="0"/>
        <w:keepLines w:val="0"/>
        <w:pageBreakBefore w:val="0"/>
        <w:kinsoku/>
        <w:wordWrap/>
        <w:overflowPunct/>
        <w:topLinePunct w:val="0"/>
        <w:autoSpaceDE/>
        <w:autoSpaceDN/>
        <w:bidi w:val="0"/>
        <w:adjustRightInd w:val="0"/>
        <w:snapToGrid/>
        <w:spacing w:line="400" w:lineRule="exact"/>
        <w:ind w:left="0" w:leftChars="0" w:firstLine="218" w:firstLineChars="91"/>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3、报名资料：营业执照、经办人身份证等复印件加盖投标单位公章发至指定邮箱</w:t>
      </w:r>
      <w:r>
        <w:rPr>
          <w:rFonts w:hint="eastAsia" w:ascii="宋体" w:hAnsi="宋体" w:eastAsia="宋体" w:cs="宋体"/>
          <w:color w:val="auto"/>
          <w:kern w:val="0"/>
          <w:sz w:val="24"/>
          <w:szCs w:val="24"/>
          <w:lang w:eastAsia="zh-CN"/>
        </w:rPr>
        <w:t>。</w:t>
      </w:r>
    </w:p>
    <w:p w14:paraId="6923846E">
      <w:pPr>
        <w:keepNext w:val="0"/>
        <w:keepLines w:val="0"/>
        <w:pageBreakBefore w:val="0"/>
        <w:kinsoku/>
        <w:overflowPunct/>
        <w:autoSpaceDN/>
        <w:bidi w:val="0"/>
        <w:snapToGrid/>
        <w:spacing w:line="40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4、售价：0元</w:t>
      </w:r>
    </w:p>
    <w:p w14:paraId="5F0C4D6C">
      <w:pPr>
        <w:keepNext w:val="0"/>
        <w:keepLines w:val="0"/>
        <w:pageBreakBefore w:val="0"/>
        <w:kinsoku/>
        <w:overflowPunct/>
        <w:autoSpaceDN/>
        <w:bidi w:val="0"/>
        <w:snapToGrid/>
        <w:spacing w:line="400" w:lineRule="exact"/>
        <w:rPr>
          <w:rFonts w:hint="eastAsia" w:ascii="宋体" w:hAnsi="宋体" w:eastAsia="宋体" w:cs="宋体"/>
          <w:b/>
          <w:bCs/>
          <w:color w:val="auto"/>
          <w:sz w:val="24"/>
        </w:rPr>
      </w:pPr>
      <w:r>
        <w:rPr>
          <w:rFonts w:hint="eastAsia" w:ascii="宋体" w:hAnsi="宋体" w:eastAsia="宋体" w:cs="宋体"/>
          <w:b/>
          <w:bCs/>
          <w:color w:val="auto"/>
          <w:sz w:val="24"/>
        </w:rPr>
        <w:t>四、响应文件提交</w:t>
      </w:r>
    </w:p>
    <w:p w14:paraId="27F1B7E7">
      <w:pPr>
        <w:keepNext w:val="0"/>
        <w:keepLines w:val="0"/>
        <w:pageBreakBefore w:val="0"/>
        <w:kinsoku/>
        <w:overflowPunct/>
        <w:autoSpaceDN/>
        <w:bidi w:val="0"/>
        <w:snapToGrid/>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1、截止时间：202</w:t>
      </w:r>
      <w:r>
        <w:rPr>
          <w:rFonts w:hint="eastAsia" w:ascii="宋体" w:hAnsi="宋体" w:eastAsia="宋体" w:cs="宋体"/>
          <w:color w:val="auto"/>
          <w:sz w:val="24"/>
          <w:lang w:val="en-US" w:eastAsia="zh-CN"/>
        </w:rPr>
        <w:t>5</w:t>
      </w:r>
      <w:r>
        <w:rPr>
          <w:rFonts w:hint="eastAsia" w:ascii="宋体" w:hAnsi="宋体" w:eastAsia="宋体" w:cs="宋体"/>
          <w:color w:val="auto"/>
          <w:sz w:val="24"/>
        </w:rPr>
        <w:t>年</w:t>
      </w:r>
      <w:r>
        <w:rPr>
          <w:rFonts w:hint="eastAsia" w:ascii="宋体" w:hAnsi="宋体" w:eastAsia="宋体" w:cs="宋体"/>
          <w:color w:val="auto"/>
          <w:sz w:val="24"/>
          <w:lang w:val="en-US" w:eastAsia="zh-CN"/>
        </w:rPr>
        <w:t>1</w:t>
      </w:r>
      <w:r>
        <w:rPr>
          <w:rFonts w:hint="eastAsia" w:ascii="宋体" w:hAnsi="宋体" w:eastAsia="宋体" w:cs="宋体"/>
          <w:color w:val="auto"/>
          <w:sz w:val="24"/>
        </w:rPr>
        <w:t>月</w:t>
      </w:r>
      <w:r>
        <w:rPr>
          <w:rFonts w:hint="eastAsia" w:ascii="宋体" w:hAnsi="宋体" w:eastAsia="宋体" w:cs="宋体"/>
          <w:color w:val="auto"/>
          <w:sz w:val="24"/>
          <w:lang w:val="en-US" w:eastAsia="zh-CN"/>
        </w:rPr>
        <w:t>26</w:t>
      </w:r>
      <w:r>
        <w:rPr>
          <w:rFonts w:hint="eastAsia" w:ascii="宋体" w:hAnsi="宋体" w:eastAsia="宋体" w:cs="宋体"/>
          <w:color w:val="auto"/>
          <w:sz w:val="24"/>
        </w:rPr>
        <w:t>日</w:t>
      </w:r>
      <w:r>
        <w:rPr>
          <w:rFonts w:hint="eastAsia" w:ascii="宋体" w:hAnsi="宋体" w:eastAsia="宋体" w:cs="宋体"/>
          <w:color w:val="auto"/>
          <w:sz w:val="24"/>
          <w:lang w:val="en-US" w:eastAsia="zh-CN"/>
        </w:rPr>
        <w:t>8</w:t>
      </w:r>
      <w:r>
        <w:rPr>
          <w:rFonts w:hint="eastAsia" w:ascii="宋体" w:hAnsi="宋体" w:eastAsia="宋体" w:cs="宋体"/>
          <w:color w:val="auto"/>
          <w:sz w:val="24"/>
        </w:rPr>
        <w:t>点</w:t>
      </w:r>
      <w:r>
        <w:rPr>
          <w:rFonts w:hint="eastAsia" w:ascii="宋体" w:hAnsi="宋体" w:eastAsia="宋体" w:cs="宋体"/>
          <w:color w:val="auto"/>
          <w:sz w:val="24"/>
          <w:lang w:val="en-US" w:eastAsia="zh-CN"/>
        </w:rPr>
        <w:t>30</w:t>
      </w:r>
      <w:r>
        <w:rPr>
          <w:rFonts w:hint="eastAsia" w:ascii="宋体" w:hAnsi="宋体" w:eastAsia="宋体" w:cs="宋体"/>
          <w:color w:val="auto"/>
          <w:sz w:val="24"/>
        </w:rPr>
        <w:t>分（北京时间）；</w:t>
      </w:r>
    </w:p>
    <w:p w14:paraId="618FD487">
      <w:pPr>
        <w:keepNext w:val="0"/>
        <w:keepLines w:val="0"/>
        <w:pageBreakBefore w:val="0"/>
        <w:kinsoku/>
        <w:overflowPunct/>
        <w:autoSpaceDN/>
        <w:bidi w:val="0"/>
        <w:snapToGrid/>
        <w:spacing w:line="400" w:lineRule="exact"/>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rPr>
        <w:t>2</w:t>
      </w:r>
      <w:bookmarkStart w:id="32" w:name="_Toc28359093"/>
      <w:bookmarkStart w:id="33" w:name="_Toc28359016"/>
      <w:bookmarkStart w:id="34" w:name="_Toc35393633"/>
      <w:bookmarkStart w:id="35" w:name="_Toc35393802"/>
      <w:r>
        <w:rPr>
          <w:rFonts w:hint="eastAsia" w:ascii="宋体" w:hAnsi="宋体" w:eastAsia="宋体" w:cs="宋体"/>
          <w:color w:val="auto"/>
          <w:sz w:val="24"/>
        </w:rPr>
        <w:t>、</w:t>
      </w:r>
      <w:r>
        <w:rPr>
          <w:rFonts w:hint="eastAsia" w:ascii="宋体" w:hAnsi="宋体" w:eastAsia="宋体" w:cs="宋体"/>
          <w:color w:val="auto"/>
          <w:sz w:val="24"/>
          <w:szCs w:val="24"/>
        </w:rPr>
        <w:t>递交地点</w:t>
      </w:r>
      <w:r>
        <w:rPr>
          <w:rFonts w:hint="eastAsia" w:ascii="宋体" w:hAnsi="宋体" w:eastAsia="宋体" w:cs="宋体"/>
          <w:color w:val="auto"/>
          <w:sz w:val="24"/>
        </w:rPr>
        <w:t>：</w:t>
      </w:r>
      <w:r>
        <w:rPr>
          <w:rFonts w:hint="eastAsia" w:ascii="宋体" w:hAnsi="宋体" w:eastAsia="宋体" w:cs="宋体"/>
          <w:color w:val="auto"/>
          <w:sz w:val="24"/>
          <w:lang w:eastAsia="zh-CN"/>
        </w:rPr>
        <w:t>淮南市</w:t>
      </w:r>
      <w:r>
        <w:rPr>
          <w:rFonts w:hint="eastAsia" w:ascii="宋体" w:hAnsi="宋体" w:eastAsia="宋体" w:cs="宋体"/>
          <w:color w:val="auto"/>
          <w:sz w:val="24"/>
          <w:lang w:val="en-US" w:eastAsia="zh-CN"/>
        </w:rPr>
        <w:t>应急管理</w:t>
      </w:r>
      <w:r>
        <w:rPr>
          <w:rFonts w:hint="eastAsia" w:ascii="宋体" w:hAnsi="宋体" w:eastAsia="宋体" w:cs="宋体"/>
          <w:color w:val="auto"/>
          <w:sz w:val="24"/>
          <w:lang w:eastAsia="zh-CN"/>
        </w:rPr>
        <w:t>局</w:t>
      </w:r>
      <w:r>
        <w:rPr>
          <w:rFonts w:hint="eastAsia" w:ascii="宋体" w:hAnsi="宋体" w:eastAsia="宋体" w:cs="宋体"/>
          <w:color w:val="auto"/>
          <w:sz w:val="24"/>
          <w:lang w:val="en-US" w:eastAsia="zh-CN"/>
        </w:rPr>
        <w:t>6楼二号会议室</w:t>
      </w:r>
    </w:p>
    <w:p w14:paraId="06DF2A6D">
      <w:pPr>
        <w:keepNext w:val="0"/>
        <w:keepLines w:val="0"/>
        <w:pageBreakBefore w:val="0"/>
        <w:kinsoku/>
        <w:overflowPunct/>
        <w:autoSpaceDN/>
        <w:bidi w:val="0"/>
        <w:snapToGrid/>
        <w:spacing w:line="400" w:lineRule="exact"/>
        <w:rPr>
          <w:rFonts w:hint="eastAsia" w:ascii="宋体" w:hAnsi="宋体" w:eastAsia="宋体" w:cs="宋体"/>
          <w:b/>
          <w:bCs/>
          <w:color w:val="auto"/>
          <w:sz w:val="24"/>
        </w:rPr>
      </w:pPr>
      <w:r>
        <w:rPr>
          <w:rFonts w:hint="eastAsia" w:ascii="宋体" w:hAnsi="宋体" w:eastAsia="宋体" w:cs="宋体"/>
          <w:b/>
          <w:bCs/>
          <w:color w:val="auto"/>
          <w:sz w:val="24"/>
        </w:rPr>
        <w:t>五、开启</w:t>
      </w:r>
    </w:p>
    <w:p w14:paraId="46725B0F">
      <w:pPr>
        <w:keepNext w:val="0"/>
        <w:keepLines w:val="0"/>
        <w:pageBreakBefore w:val="0"/>
        <w:kinsoku/>
        <w:overflowPunct/>
        <w:autoSpaceDN/>
        <w:bidi w:val="0"/>
        <w:snapToGrid/>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1、时间：202</w:t>
      </w:r>
      <w:r>
        <w:rPr>
          <w:rFonts w:hint="eastAsia" w:ascii="宋体" w:hAnsi="宋体" w:eastAsia="宋体" w:cs="宋体"/>
          <w:color w:val="auto"/>
          <w:sz w:val="24"/>
          <w:lang w:val="en-US" w:eastAsia="zh-CN"/>
        </w:rPr>
        <w:t>5</w:t>
      </w:r>
      <w:r>
        <w:rPr>
          <w:rFonts w:hint="eastAsia" w:ascii="宋体" w:hAnsi="宋体" w:eastAsia="宋体" w:cs="宋体"/>
          <w:color w:val="auto"/>
          <w:sz w:val="24"/>
        </w:rPr>
        <w:t>年</w:t>
      </w:r>
      <w:r>
        <w:rPr>
          <w:rFonts w:hint="eastAsia" w:ascii="宋体" w:hAnsi="宋体" w:eastAsia="宋体" w:cs="宋体"/>
          <w:color w:val="auto"/>
          <w:sz w:val="24"/>
          <w:lang w:val="en-US" w:eastAsia="zh-CN"/>
        </w:rPr>
        <w:t>1</w:t>
      </w:r>
      <w:r>
        <w:rPr>
          <w:rFonts w:hint="eastAsia" w:ascii="宋体" w:hAnsi="宋体" w:eastAsia="宋体" w:cs="宋体"/>
          <w:color w:val="auto"/>
          <w:sz w:val="24"/>
        </w:rPr>
        <w:t>月</w:t>
      </w:r>
      <w:r>
        <w:rPr>
          <w:rFonts w:hint="eastAsia" w:ascii="宋体" w:hAnsi="宋体" w:eastAsia="宋体" w:cs="宋体"/>
          <w:color w:val="auto"/>
          <w:sz w:val="24"/>
          <w:lang w:val="en-US" w:eastAsia="zh-CN"/>
        </w:rPr>
        <w:t>26</w:t>
      </w:r>
      <w:r>
        <w:rPr>
          <w:rFonts w:hint="eastAsia" w:ascii="宋体" w:hAnsi="宋体" w:eastAsia="宋体" w:cs="宋体"/>
          <w:color w:val="auto"/>
          <w:sz w:val="24"/>
        </w:rPr>
        <w:t>日8点30分（北京时间）</w:t>
      </w:r>
    </w:p>
    <w:p w14:paraId="0986B9C1">
      <w:pPr>
        <w:keepNext w:val="0"/>
        <w:keepLines w:val="0"/>
        <w:pageBreakBefore w:val="0"/>
        <w:kinsoku/>
        <w:overflowPunct/>
        <w:autoSpaceDN/>
        <w:bidi w:val="0"/>
        <w:snapToGrid/>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2、地点：</w:t>
      </w:r>
      <w:r>
        <w:rPr>
          <w:rFonts w:hint="eastAsia" w:ascii="宋体" w:hAnsi="宋体" w:eastAsia="宋体" w:cs="宋体"/>
          <w:color w:val="auto"/>
          <w:sz w:val="24"/>
          <w:lang w:eastAsia="zh-CN"/>
        </w:rPr>
        <w:t>淮南市</w:t>
      </w:r>
      <w:r>
        <w:rPr>
          <w:rFonts w:hint="eastAsia" w:ascii="宋体" w:hAnsi="宋体" w:eastAsia="宋体" w:cs="宋体"/>
          <w:color w:val="auto"/>
          <w:sz w:val="24"/>
          <w:lang w:val="en-US" w:eastAsia="zh-CN"/>
        </w:rPr>
        <w:t>应急管理</w:t>
      </w:r>
      <w:r>
        <w:rPr>
          <w:rFonts w:hint="eastAsia" w:ascii="宋体" w:hAnsi="宋体" w:eastAsia="宋体" w:cs="宋体"/>
          <w:color w:val="auto"/>
          <w:sz w:val="24"/>
          <w:lang w:eastAsia="zh-CN"/>
        </w:rPr>
        <w:t>局</w:t>
      </w:r>
      <w:r>
        <w:rPr>
          <w:rFonts w:hint="eastAsia" w:ascii="宋体" w:hAnsi="宋体" w:eastAsia="宋体" w:cs="宋体"/>
          <w:color w:val="auto"/>
          <w:sz w:val="24"/>
          <w:lang w:val="en-US" w:eastAsia="zh-CN"/>
        </w:rPr>
        <w:t>6楼二号会议室</w:t>
      </w:r>
    </w:p>
    <w:p w14:paraId="4EF6A52F">
      <w:pPr>
        <w:keepNext w:val="0"/>
        <w:keepLines w:val="0"/>
        <w:pageBreakBefore w:val="0"/>
        <w:kinsoku/>
        <w:overflowPunct/>
        <w:autoSpaceDN/>
        <w:bidi w:val="0"/>
        <w:snapToGrid/>
        <w:spacing w:line="400" w:lineRule="exact"/>
        <w:rPr>
          <w:rFonts w:hint="eastAsia" w:ascii="宋体" w:hAnsi="宋体" w:eastAsia="宋体" w:cs="宋体"/>
          <w:b/>
          <w:bCs/>
          <w:color w:val="auto"/>
          <w:sz w:val="24"/>
        </w:rPr>
      </w:pPr>
      <w:r>
        <w:rPr>
          <w:rFonts w:hint="eastAsia" w:ascii="宋体" w:hAnsi="宋体" w:eastAsia="宋体" w:cs="宋体"/>
          <w:b/>
          <w:bCs/>
          <w:color w:val="auto"/>
          <w:sz w:val="24"/>
        </w:rPr>
        <w:t>六、</w:t>
      </w:r>
      <w:bookmarkEnd w:id="32"/>
      <w:bookmarkEnd w:id="33"/>
      <w:bookmarkEnd w:id="34"/>
      <w:bookmarkEnd w:id="35"/>
      <w:bookmarkStart w:id="36" w:name="_Toc28359017"/>
      <w:bookmarkStart w:id="37" w:name="_Toc35393634"/>
      <w:bookmarkStart w:id="38" w:name="_Toc35393803"/>
      <w:bookmarkStart w:id="39" w:name="_Toc28359094"/>
      <w:r>
        <w:rPr>
          <w:rFonts w:hint="eastAsia" w:ascii="宋体" w:hAnsi="宋体" w:eastAsia="宋体" w:cs="宋体"/>
          <w:b/>
          <w:bCs/>
          <w:color w:val="auto"/>
          <w:sz w:val="24"/>
        </w:rPr>
        <w:t>公告期限</w:t>
      </w:r>
      <w:bookmarkEnd w:id="36"/>
      <w:bookmarkEnd w:id="37"/>
      <w:bookmarkEnd w:id="38"/>
      <w:bookmarkEnd w:id="39"/>
    </w:p>
    <w:p w14:paraId="23CF1E59">
      <w:pPr>
        <w:keepNext w:val="0"/>
        <w:keepLines w:val="0"/>
        <w:pageBreakBefore w:val="0"/>
        <w:kinsoku/>
        <w:overflowPunct/>
        <w:autoSpaceDN/>
        <w:bidi w:val="0"/>
        <w:snapToGrid/>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14:paraId="217E9400">
      <w:pPr>
        <w:keepNext w:val="0"/>
        <w:keepLines w:val="0"/>
        <w:pageBreakBefore w:val="0"/>
        <w:kinsoku/>
        <w:overflowPunct/>
        <w:autoSpaceDN/>
        <w:bidi w:val="0"/>
        <w:snapToGrid/>
        <w:spacing w:line="400" w:lineRule="exact"/>
        <w:rPr>
          <w:rFonts w:hint="eastAsia" w:ascii="宋体" w:hAnsi="宋体" w:eastAsia="宋体" w:cs="宋体"/>
          <w:b/>
          <w:bCs/>
          <w:color w:val="auto"/>
          <w:sz w:val="24"/>
        </w:rPr>
      </w:pPr>
      <w:r>
        <w:rPr>
          <w:rFonts w:hint="eastAsia" w:ascii="宋体" w:hAnsi="宋体" w:eastAsia="宋体" w:cs="宋体"/>
          <w:b/>
          <w:bCs/>
          <w:color w:val="auto"/>
          <w:sz w:val="24"/>
        </w:rPr>
        <w:t>七、其他补充事宜</w:t>
      </w:r>
      <w:bookmarkEnd w:id="30"/>
      <w:bookmarkEnd w:id="31"/>
    </w:p>
    <w:p w14:paraId="6BF523D2">
      <w:pPr>
        <w:pStyle w:val="14"/>
        <w:keepNext w:val="0"/>
        <w:keepLines w:val="0"/>
        <w:pageBreakBefore w:val="0"/>
        <w:kinsoku/>
        <w:overflowPunct/>
        <w:topLinePunct/>
        <w:autoSpaceDN/>
        <w:bidi w:val="0"/>
        <w:adjustRightInd/>
        <w:snapToGrid/>
        <w:spacing w:before="0" w:beforeAutospacing="0" w:after="0" w:afterAutospacing="0" w:line="400" w:lineRule="exact"/>
        <w:ind w:firstLine="240" w:firstLineChars="1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1、资格审查方式：资格后审</w:t>
      </w:r>
    </w:p>
    <w:p w14:paraId="750D3BBF">
      <w:pPr>
        <w:pStyle w:val="1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firstLine="240" w:firstLineChars="100"/>
        <w:textAlignment w:val="auto"/>
        <w:outlineLvl w:val="9"/>
        <w:rPr>
          <w:rStyle w:val="20"/>
          <w:rFonts w:hint="eastAsia" w:ascii="宋体" w:hAnsi="宋体" w:eastAsia="宋体" w:cs="宋体"/>
          <w:color w:val="auto"/>
          <w:kern w:val="2"/>
          <w:sz w:val="24"/>
          <w:szCs w:val="24"/>
          <w:lang w:val="en-US" w:eastAsia="zh-CN" w:bidi="ar-SA"/>
        </w:rPr>
      </w:pPr>
      <w:r>
        <w:rPr>
          <w:rStyle w:val="20"/>
          <w:rFonts w:hint="eastAsia" w:hAnsi="宋体" w:eastAsia="宋体" w:cs="宋体"/>
          <w:color w:val="auto"/>
          <w:kern w:val="2"/>
          <w:sz w:val="24"/>
          <w:szCs w:val="24"/>
          <w:lang w:val="en-US" w:eastAsia="zh-CN" w:bidi="ar-SA"/>
        </w:rPr>
        <w:t>2、</w:t>
      </w:r>
      <w:r>
        <w:rPr>
          <w:rStyle w:val="20"/>
          <w:rFonts w:hint="eastAsia" w:ascii="宋体" w:hAnsi="宋体" w:eastAsia="宋体" w:cs="宋体"/>
          <w:color w:val="auto"/>
          <w:kern w:val="2"/>
          <w:sz w:val="24"/>
          <w:szCs w:val="24"/>
          <w:lang w:val="en-US" w:eastAsia="zh-CN" w:bidi="ar-SA"/>
        </w:rPr>
        <w:t>发布媒介：</w:t>
      </w:r>
      <w:r>
        <w:rPr>
          <w:rFonts w:hint="eastAsia" w:ascii="宋体" w:hAnsi="宋体" w:eastAsia="宋体" w:cs="宋体"/>
          <w:color w:val="auto"/>
          <w:sz w:val="24"/>
          <w:szCs w:val="24"/>
          <w:lang w:eastAsia="zh-CN"/>
        </w:rPr>
        <w:t>淮南市</w:t>
      </w:r>
      <w:r>
        <w:rPr>
          <w:rFonts w:hint="eastAsia" w:hAnsi="宋体" w:eastAsia="宋体" w:cs="宋体"/>
          <w:color w:val="auto"/>
          <w:sz w:val="24"/>
          <w:szCs w:val="24"/>
          <w:lang w:val="en-US" w:eastAsia="zh-CN"/>
        </w:rPr>
        <w:t>应急管理</w:t>
      </w:r>
      <w:r>
        <w:rPr>
          <w:rFonts w:hint="eastAsia" w:ascii="宋体" w:hAnsi="宋体" w:eastAsia="宋体" w:cs="宋体"/>
          <w:color w:val="auto"/>
          <w:sz w:val="24"/>
          <w:szCs w:val="24"/>
          <w:lang w:eastAsia="zh-CN"/>
        </w:rPr>
        <w:t>局网站</w:t>
      </w:r>
    </w:p>
    <w:p w14:paraId="269BA191">
      <w:pPr>
        <w:pStyle w:val="1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firstLine="240" w:firstLineChars="100"/>
        <w:textAlignment w:val="auto"/>
        <w:outlineLvl w:val="9"/>
        <w:rPr>
          <w:rStyle w:val="20"/>
          <w:rFonts w:hint="eastAsia" w:ascii="宋体" w:hAnsi="宋体" w:eastAsia="宋体" w:cs="宋体"/>
          <w:color w:val="auto"/>
          <w:kern w:val="2"/>
          <w:sz w:val="24"/>
          <w:szCs w:val="24"/>
          <w:lang w:val="en-US" w:eastAsia="zh-CN" w:bidi="ar-SA"/>
        </w:rPr>
      </w:pPr>
      <w:r>
        <w:rPr>
          <w:rStyle w:val="20"/>
          <w:rFonts w:hint="eastAsia" w:ascii="宋体" w:hAnsi="宋体" w:eastAsia="宋体" w:cs="宋体"/>
          <w:color w:val="auto"/>
          <w:kern w:val="2"/>
          <w:sz w:val="24"/>
          <w:szCs w:val="24"/>
          <w:lang w:val="en-US" w:eastAsia="zh-CN" w:bidi="ar-SA"/>
        </w:rPr>
        <w:t>3、依据《淮南市政府采购支持中小微企业线上融资业务的实施方案》（淮南银发〔2021〕42</w:t>
      </w:r>
    </w:p>
    <w:p w14:paraId="50AEC8D5">
      <w:pPr>
        <w:pStyle w:val="18"/>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outlineLvl w:val="9"/>
        <w:rPr>
          <w:rStyle w:val="20"/>
          <w:rFonts w:hint="eastAsia" w:ascii="宋体" w:hAnsi="宋体" w:eastAsia="宋体" w:cs="宋体"/>
          <w:color w:val="auto"/>
          <w:kern w:val="2"/>
          <w:sz w:val="24"/>
          <w:szCs w:val="24"/>
          <w:lang w:val="en-US" w:eastAsia="zh-CN" w:bidi="ar-SA"/>
        </w:rPr>
      </w:pPr>
      <w:r>
        <w:rPr>
          <w:rStyle w:val="20"/>
          <w:rFonts w:hint="eastAsia" w:ascii="宋体" w:hAnsi="宋体" w:eastAsia="宋体" w:cs="宋体"/>
          <w:color w:val="auto"/>
          <w:kern w:val="2"/>
          <w:sz w:val="24"/>
          <w:szCs w:val="24"/>
          <w:lang w:val="en-US" w:eastAsia="zh-CN" w:bidi="ar-SA"/>
        </w:rPr>
        <w:t>号）的文件精神，成交供应商在有需求的情况下，可登录(网址为：https//www.crcrfsp.com,简称服务平台)进行“政采贷”具体业务咨询。</w:t>
      </w:r>
    </w:p>
    <w:p w14:paraId="444304B3">
      <w:pPr>
        <w:keepNext w:val="0"/>
        <w:keepLines w:val="0"/>
        <w:pageBreakBefore w:val="0"/>
        <w:kinsoku/>
        <w:overflowPunct/>
        <w:autoSpaceDN/>
        <w:bidi w:val="0"/>
        <w:snapToGrid/>
        <w:spacing w:line="400" w:lineRule="exact"/>
        <w:ind w:firstLine="240" w:firstLineChars="100"/>
        <w:rPr>
          <w:rFonts w:hint="eastAsia" w:ascii="宋体" w:hAnsi="宋体" w:eastAsia="宋体" w:cs="宋体"/>
          <w:color w:val="auto"/>
          <w:sz w:val="24"/>
        </w:rPr>
      </w:pPr>
      <w:r>
        <w:rPr>
          <w:rFonts w:hint="eastAsia" w:ascii="宋体" w:hAnsi="宋体" w:eastAsia="宋体" w:cs="宋体"/>
          <w:bCs/>
          <w:color w:val="auto"/>
          <w:sz w:val="24"/>
          <w:lang w:val="en-US" w:eastAsia="zh-CN" w:bidi="ar"/>
        </w:rPr>
        <w:t>4</w:t>
      </w:r>
      <w:r>
        <w:rPr>
          <w:rFonts w:hint="eastAsia" w:ascii="宋体" w:hAnsi="宋体" w:eastAsia="宋体" w:cs="宋体"/>
          <w:bCs/>
          <w:color w:val="auto"/>
          <w:sz w:val="24"/>
          <w:lang w:bidi="ar"/>
        </w:rPr>
        <w:t>、合同签订后，鼓励5个工作日内预付10%合同价款，中小微企业预付50%，供应商需提供预付款保函或其他非现金担保证</w:t>
      </w:r>
      <w:r>
        <w:rPr>
          <w:rFonts w:hint="eastAsia" w:ascii="宋体" w:hAnsi="宋体" w:eastAsia="宋体" w:cs="宋体"/>
          <w:color w:val="auto"/>
          <w:sz w:val="24"/>
        </w:rPr>
        <w:t>明，不提供不预付。</w:t>
      </w:r>
    </w:p>
    <w:p w14:paraId="27426091">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、本项目免收投标保证金。</w:t>
      </w:r>
    </w:p>
    <w:p w14:paraId="00F7BDE7">
      <w:pPr>
        <w:pStyle w:val="6"/>
        <w:keepNext w:val="0"/>
        <w:keepLines w:val="0"/>
        <w:pageBreakBefore w:val="0"/>
        <w:widowControl w:val="0"/>
        <w:kinsoku/>
        <w:wordWrap/>
        <w:overflowPunct/>
        <w:topLinePunct w:val="0"/>
        <w:autoSpaceDE/>
        <w:autoSpaceDN/>
        <w:bidi w:val="0"/>
        <w:adjustRightInd/>
        <w:snapToGrid/>
        <w:spacing w:after="0" w:line="480" w:lineRule="exac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八、凡对本次采购提出询问，请按以下方式联系。</w:t>
      </w:r>
    </w:p>
    <w:p w14:paraId="0B0280D6">
      <w:pPr>
        <w:pStyle w:val="6"/>
        <w:keepNext w:val="0"/>
        <w:keepLines w:val="0"/>
        <w:pageBreakBefore w:val="0"/>
        <w:widowControl w:val="0"/>
        <w:kinsoku/>
        <w:wordWrap/>
        <w:overflowPunct/>
        <w:topLinePunct w:val="0"/>
        <w:autoSpaceDE/>
        <w:autoSpaceDN/>
        <w:bidi w:val="0"/>
        <w:adjustRightInd/>
        <w:snapToGrid/>
        <w:spacing w:after="0" w:line="480" w:lineRule="exact"/>
        <w:ind w:right="0" w:firstLine="0" w:firstLineChars="0"/>
        <w:textAlignment w:val="auto"/>
        <w:rPr>
          <w:rFonts w:hint="eastAsia" w:ascii="宋体" w:hAnsi="宋体" w:eastAsia="宋体" w:cs="宋体"/>
          <w:color w:val="auto"/>
          <w:kern w:val="2"/>
          <w:sz w:val="24"/>
          <w:szCs w:val="24"/>
        </w:rPr>
      </w:pPr>
      <w:bookmarkStart w:id="40" w:name="_Toc28359096"/>
      <w:bookmarkStart w:id="41" w:name="_Toc35393637"/>
      <w:bookmarkStart w:id="42" w:name="_Toc28359019"/>
      <w:bookmarkStart w:id="43" w:name="_Toc35393806"/>
      <w:r>
        <w:rPr>
          <w:rFonts w:hint="eastAsia" w:ascii="宋体" w:hAnsi="宋体" w:eastAsia="宋体" w:cs="宋体"/>
          <w:color w:val="auto"/>
          <w:kern w:val="2"/>
          <w:sz w:val="24"/>
          <w:szCs w:val="24"/>
        </w:rPr>
        <w:t>1、采购人信息</w:t>
      </w:r>
      <w:bookmarkEnd w:id="40"/>
      <w:bookmarkEnd w:id="41"/>
      <w:bookmarkEnd w:id="42"/>
      <w:bookmarkEnd w:id="43"/>
    </w:p>
    <w:p w14:paraId="31E9976B">
      <w:pPr>
        <w:pStyle w:val="6"/>
        <w:keepNext w:val="0"/>
        <w:keepLines w:val="0"/>
        <w:pageBreakBefore w:val="0"/>
        <w:widowControl w:val="0"/>
        <w:kinsoku/>
        <w:wordWrap/>
        <w:overflowPunct/>
        <w:topLinePunct w:val="0"/>
        <w:autoSpaceDE/>
        <w:autoSpaceDN/>
        <w:bidi w:val="0"/>
        <w:adjustRightInd/>
        <w:snapToGrid/>
        <w:spacing w:after="0" w:line="480" w:lineRule="exact"/>
        <w:ind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称：淮南市</w:t>
      </w:r>
      <w:r>
        <w:rPr>
          <w:rFonts w:hint="eastAsia" w:ascii="宋体" w:hAnsi="宋体" w:eastAsia="宋体" w:cs="宋体"/>
          <w:color w:val="auto"/>
          <w:sz w:val="24"/>
          <w:szCs w:val="24"/>
          <w:lang w:val="en-US" w:eastAsia="zh-CN"/>
        </w:rPr>
        <w:t>应急管理局</w:t>
      </w:r>
      <w:r>
        <w:rPr>
          <w:rFonts w:hint="eastAsia" w:ascii="宋体" w:hAnsi="宋体" w:eastAsia="宋体" w:cs="宋体"/>
          <w:color w:val="auto"/>
          <w:sz w:val="24"/>
          <w:szCs w:val="24"/>
        </w:rPr>
        <w:t>　　　　　　　　　　　</w:t>
      </w:r>
    </w:p>
    <w:p w14:paraId="2548A20F">
      <w:pPr>
        <w:keepNext w:val="0"/>
        <w:keepLines w:val="0"/>
        <w:pageBreakBefore w:val="0"/>
        <w:widowControl w:val="0"/>
        <w:kinsoku/>
        <w:wordWrap/>
        <w:overflowPunct/>
        <w:topLinePunct w:val="0"/>
        <w:autoSpaceDE/>
        <w:autoSpaceDN/>
        <w:bidi w:val="0"/>
        <w:adjustRightInd/>
        <w:snapToGrid/>
        <w:spacing w:line="480" w:lineRule="exact"/>
        <w:ind w:right="0" w:firstLine="0" w:firstLineChars="0"/>
        <w:jc w:val="left"/>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bCs/>
          <w:color w:val="auto"/>
          <w:sz w:val="24"/>
        </w:rPr>
        <w:t>淮南市山南新区</w:t>
      </w:r>
      <w:r>
        <w:rPr>
          <w:rFonts w:hint="eastAsia" w:ascii="宋体" w:hAnsi="宋体" w:eastAsia="宋体" w:cs="宋体"/>
          <w:bCs/>
          <w:color w:val="auto"/>
          <w:sz w:val="24"/>
          <w:lang w:val="en-US" w:eastAsia="zh-CN"/>
        </w:rPr>
        <w:t>民裕东街89号</w:t>
      </w:r>
      <w:r>
        <w:rPr>
          <w:rFonts w:hint="eastAsia" w:ascii="宋体" w:hAnsi="宋体" w:eastAsia="宋体" w:cs="宋体"/>
          <w:color w:val="auto"/>
          <w:sz w:val="24"/>
        </w:rPr>
        <w:t>　　　　　　　　　　</w:t>
      </w:r>
    </w:p>
    <w:p w14:paraId="66117871">
      <w:pPr>
        <w:pStyle w:val="6"/>
        <w:keepNext w:val="0"/>
        <w:keepLines w:val="0"/>
        <w:pageBreakBefore w:val="0"/>
        <w:widowControl w:val="0"/>
        <w:kinsoku/>
        <w:wordWrap/>
        <w:overflowPunct/>
        <w:topLinePunct w:val="0"/>
        <w:autoSpaceDE/>
        <w:autoSpaceDN/>
        <w:bidi w:val="0"/>
        <w:adjustRightInd/>
        <w:snapToGrid/>
        <w:spacing w:after="0" w:line="480" w:lineRule="exact"/>
        <w:ind w:right="0" w:firstLine="0" w:firstLineChars="0"/>
        <w:textAlignment w:val="auto"/>
        <w:rPr>
          <w:rFonts w:hint="eastAsia" w:ascii="宋体" w:hAnsi="宋体" w:eastAsia="宋体" w:cs="宋体"/>
          <w:color w:val="auto"/>
          <w:kern w:val="2"/>
          <w:sz w:val="24"/>
          <w:szCs w:val="24"/>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shd w:val="clear" w:color="auto" w:fill="FFFFFF"/>
        </w:rPr>
        <w:t>0554-</w:t>
      </w:r>
      <w:r>
        <w:rPr>
          <w:rFonts w:hint="eastAsia" w:ascii="宋体" w:hAnsi="宋体" w:eastAsia="宋体" w:cs="宋体"/>
          <w:color w:val="auto"/>
          <w:sz w:val="24"/>
          <w:szCs w:val="24"/>
          <w:shd w:val="clear" w:color="auto" w:fill="FFFFFF"/>
          <w:lang w:val="en-US" w:eastAsia="zh-CN"/>
        </w:rPr>
        <w:t>6660561</w:t>
      </w:r>
      <w:r>
        <w:rPr>
          <w:rFonts w:hint="eastAsia" w:ascii="宋体" w:hAnsi="宋体" w:eastAsia="宋体" w:cs="宋体"/>
          <w:color w:val="auto"/>
          <w:sz w:val="24"/>
          <w:szCs w:val="24"/>
        </w:rPr>
        <w:t>　　</w:t>
      </w:r>
      <w:r>
        <w:rPr>
          <w:rFonts w:hint="eastAsia" w:ascii="宋体" w:hAnsi="宋体" w:eastAsia="宋体" w:cs="宋体"/>
          <w:color w:val="auto"/>
          <w:kern w:val="2"/>
          <w:sz w:val="24"/>
          <w:szCs w:val="24"/>
        </w:rPr>
        <w:t>　　　 　　　　　　　　　</w:t>
      </w:r>
    </w:p>
    <w:p w14:paraId="45A7007E">
      <w:pPr>
        <w:pStyle w:val="6"/>
        <w:keepNext w:val="0"/>
        <w:keepLines w:val="0"/>
        <w:pageBreakBefore w:val="0"/>
        <w:widowControl w:val="0"/>
        <w:kinsoku/>
        <w:wordWrap/>
        <w:overflowPunct/>
        <w:topLinePunct w:val="0"/>
        <w:autoSpaceDE/>
        <w:autoSpaceDN/>
        <w:bidi w:val="0"/>
        <w:adjustRightInd/>
        <w:snapToGrid/>
        <w:spacing w:after="0" w:line="480" w:lineRule="exact"/>
        <w:ind w:right="0" w:firstLine="0" w:firstLineChars="0"/>
        <w:textAlignment w:val="auto"/>
        <w:rPr>
          <w:rFonts w:hint="eastAsia" w:ascii="宋体" w:hAnsi="宋体" w:eastAsia="宋体" w:cs="宋体"/>
          <w:color w:val="auto"/>
          <w:kern w:val="2"/>
          <w:sz w:val="24"/>
          <w:szCs w:val="24"/>
        </w:rPr>
      </w:pPr>
      <w:bookmarkStart w:id="44" w:name="_Toc28359021"/>
      <w:bookmarkStart w:id="45" w:name="_Toc35393639"/>
      <w:bookmarkStart w:id="46" w:name="_Toc35393808"/>
      <w:bookmarkStart w:id="47" w:name="_Toc28359098"/>
      <w:r>
        <w:rPr>
          <w:rFonts w:hint="eastAsia" w:ascii="宋体" w:hAnsi="宋体" w:eastAsia="宋体" w:cs="宋体"/>
          <w:color w:val="auto"/>
          <w:kern w:val="2"/>
          <w:sz w:val="24"/>
          <w:szCs w:val="24"/>
        </w:rPr>
        <w:t>3、项目联系方式</w:t>
      </w:r>
      <w:bookmarkEnd w:id="44"/>
      <w:bookmarkEnd w:id="45"/>
      <w:bookmarkEnd w:id="46"/>
      <w:bookmarkEnd w:id="47"/>
    </w:p>
    <w:p w14:paraId="61388A7C">
      <w:pPr>
        <w:pStyle w:val="6"/>
        <w:keepNext w:val="0"/>
        <w:keepLines w:val="0"/>
        <w:pageBreakBefore w:val="0"/>
        <w:widowControl w:val="0"/>
        <w:kinsoku/>
        <w:wordWrap/>
        <w:overflowPunct/>
        <w:topLinePunct w:val="0"/>
        <w:autoSpaceDE/>
        <w:autoSpaceDN/>
        <w:bidi w:val="0"/>
        <w:adjustRightInd/>
        <w:snapToGrid/>
        <w:spacing w:after="0" w:line="480" w:lineRule="exact"/>
        <w:ind w:right="0" w:firstLine="0" w:firstLineChars="0"/>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项目联系人：</w:t>
      </w:r>
      <w:r>
        <w:rPr>
          <w:rFonts w:hint="eastAsia" w:ascii="宋体" w:hAnsi="宋体" w:eastAsia="宋体" w:cs="宋体"/>
          <w:color w:val="auto"/>
          <w:kern w:val="2"/>
          <w:sz w:val="24"/>
          <w:szCs w:val="24"/>
          <w:lang w:val="en-US" w:eastAsia="zh-CN"/>
        </w:rPr>
        <w:t>马志强</w:t>
      </w:r>
      <w:r>
        <w:rPr>
          <w:rFonts w:hint="eastAsia" w:ascii="宋体" w:hAnsi="宋体" w:eastAsia="宋体" w:cs="宋体"/>
          <w:color w:val="auto"/>
          <w:kern w:val="2"/>
          <w:sz w:val="24"/>
          <w:szCs w:val="24"/>
        </w:rPr>
        <w:t xml:space="preserve">          </w:t>
      </w:r>
    </w:p>
    <w:p w14:paraId="151ECEDB">
      <w:pPr>
        <w:pStyle w:val="6"/>
        <w:keepNext w:val="0"/>
        <w:keepLines w:val="0"/>
        <w:pageBreakBefore w:val="0"/>
        <w:widowControl w:val="0"/>
        <w:kinsoku/>
        <w:wordWrap/>
        <w:overflowPunct/>
        <w:topLinePunct w:val="0"/>
        <w:autoSpaceDE/>
        <w:autoSpaceDN/>
        <w:bidi w:val="0"/>
        <w:adjustRightInd/>
        <w:snapToGrid/>
        <w:spacing w:after="0" w:line="480" w:lineRule="exact"/>
        <w:ind w:right="0" w:firstLine="0" w:firstLineChars="0"/>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 xml:space="preserve">电　　 </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rPr>
        <w:t>话：</w:t>
      </w:r>
      <w:r>
        <w:rPr>
          <w:rFonts w:hint="eastAsia" w:ascii="宋体" w:hAnsi="宋体" w:eastAsia="宋体" w:cs="宋体"/>
          <w:color w:val="auto"/>
          <w:kern w:val="2"/>
          <w:sz w:val="24"/>
          <w:szCs w:val="24"/>
          <w:lang w:val="en-US" w:eastAsia="zh-CN"/>
        </w:rPr>
        <w:t>19165540554</w:t>
      </w:r>
    </w:p>
    <w:p w14:paraId="65908AA1">
      <w:pPr>
        <w:pStyle w:val="6"/>
        <w:keepNext w:val="0"/>
        <w:keepLines w:val="0"/>
        <w:pageBreakBefore w:val="0"/>
        <w:widowControl w:val="0"/>
        <w:kinsoku/>
        <w:wordWrap/>
        <w:overflowPunct/>
        <w:topLinePunct w:val="0"/>
        <w:autoSpaceDE/>
        <w:autoSpaceDN/>
        <w:bidi w:val="0"/>
        <w:adjustRightInd/>
        <w:snapToGrid/>
        <w:spacing w:after="0" w:line="480" w:lineRule="exact"/>
        <w:ind w:right="0" w:firstLine="0" w:firstLineChars="0"/>
        <w:textAlignment w:val="auto"/>
        <w:rPr>
          <w:rFonts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邮      箱：yjjkxk@foxmail.com</w:t>
      </w:r>
      <w:r>
        <w:rPr>
          <w:rFonts w:hint="eastAsia" w:ascii="宋体" w:hAnsi="宋体" w:eastAsia="宋体" w:cs="宋体"/>
          <w:color w:val="auto"/>
          <w:kern w:val="2"/>
          <w:sz w:val="24"/>
          <w:szCs w:val="24"/>
        </w:rPr>
        <w:t xml:space="preserve">       　　　　　　　　</w:t>
      </w:r>
    </w:p>
    <w:p w14:paraId="52F72043">
      <w:pPr>
        <w:pStyle w:val="2"/>
        <w:ind w:firstLine="440"/>
        <w:rPr>
          <w:color w:val="auto"/>
        </w:rPr>
      </w:pPr>
    </w:p>
    <w:p w14:paraId="4FD67874">
      <w:pPr>
        <w:pStyle w:val="8"/>
        <w:jc w:val="center"/>
        <w:rPr>
          <w:rFonts w:hint="default" w:ascii="宋体" w:eastAsia="宋体" w:cs="宋体"/>
          <w:color w:val="auto"/>
          <w:sz w:val="28"/>
          <w:szCs w:val="28"/>
        </w:rPr>
      </w:pPr>
      <w:bookmarkStart w:id="48" w:name="_Toc5338"/>
      <w:r>
        <w:rPr>
          <w:rFonts w:ascii="宋体" w:eastAsia="宋体" w:cs="宋体"/>
          <w:color w:val="auto"/>
          <w:sz w:val="28"/>
          <w:szCs w:val="28"/>
        </w:rPr>
        <w:t>第二章 投标须知前附表</w:t>
      </w:r>
      <w:bookmarkEnd w:id="25"/>
      <w:bookmarkEnd w:id="48"/>
    </w:p>
    <w:tbl>
      <w:tblPr>
        <w:tblStyle w:val="15"/>
        <w:tblW w:w="10220" w:type="dxa"/>
        <w:tblInd w:w="-90" w:type="dxa"/>
        <w:tblLayout w:type="fixed"/>
        <w:tblCellMar>
          <w:top w:w="0" w:type="dxa"/>
          <w:left w:w="0" w:type="dxa"/>
          <w:bottom w:w="0" w:type="dxa"/>
          <w:right w:w="0" w:type="dxa"/>
        </w:tblCellMar>
      </w:tblPr>
      <w:tblGrid>
        <w:gridCol w:w="625"/>
        <w:gridCol w:w="1930"/>
        <w:gridCol w:w="7665"/>
      </w:tblGrid>
      <w:tr w14:paraId="4D91A49E">
        <w:tblPrEx>
          <w:tblCellMar>
            <w:top w:w="0" w:type="dxa"/>
            <w:left w:w="0" w:type="dxa"/>
            <w:bottom w:w="0" w:type="dxa"/>
            <w:right w:w="0" w:type="dxa"/>
          </w:tblCellMar>
        </w:tblPrEx>
        <w:trPr>
          <w:trHeight w:val="451" w:hRule="exac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422B">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49" w:name="_Toc8312"/>
            <w:bookmarkStart w:id="50" w:name="_Toc29062"/>
            <w:bookmarkStart w:id="51" w:name="_Toc8922"/>
            <w:bookmarkStart w:id="52" w:name="_Toc25994"/>
            <w:r>
              <w:rPr>
                <w:rFonts w:hint="eastAsia" w:ascii="宋体" w:hAnsi="宋体" w:eastAsia="宋体" w:cs="宋体"/>
                <w:b w:val="0"/>
                <w:color w:val="auto"/>
                <w:sz w:val="24"/>
                <w:szCs w:val="24"/>
              </w:rPr>
              <w:t>序号</w:t>
            </w:r>
            <w:bookmarkEnd w:id="49"/>
            <w:bookmarkEnd w:id="50"/>
            <w:bookmarkEnd w:id="51"/>
            <w:bookmarkEnd w:id="52"/>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96E5">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53" w:name="_Toc16337"/>
            <w:bookmarkStart w:id="54" w:name="_Toc28298"/>
            <w:bookmarkStart w:id="55" w:name="_Toc19712"/>
            <w:bookmarkStart w:id="56" w:name="_Toc22828"/>
            <w:r>
              <w:rPr>
                <w:rFonts w:hint="eastAsia" w:ascii="宋体" w:hAnsi="宋体" w:eastAsia="宋体" w:cs="宋体"/>
                <w:b w:val="0"/>
                <w:color w:val="auto"/>
                <w:sz w:val="24"/>
                <w:szCs w:val="24"/>
              </w:rPr>
              <w:t>条款名称</w:t>
            </w:r>
            <w:bookmarkEnd w:id="53"/>
            <w:bookmarkEnd w:id="54"/>
            <w:bookmarkEnd w:id="55"/>
            <w:bookmarkEnd w:id="56"/>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0EE3">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57" w:name="_Toc2438"/>
            <w:bookmarkStart w:id="58" w:name="_Toc20910"/>
            <w:bookmarkStart w:id="59" w:name="_Toc16212"/>
            <w:bookmarkStart w:id="60" w:name="_Toc16822"/>
            <w:r>
              <w:rPr>
                <w:rFonts w:hint="eastAsia" w:ascii="宋体" w:hAnsi="宋体" w:eastAsia="宋体" w:cs="宋体"/>
                <w:b w:val="0"/>
                <w:color w:val="auto"/>
                <w:sz w:val="24"/>
                <w:szCs w:val="24"/>
              </w:rPr>
              <w:t>编列内容</w:t>
            </w:r>
            <w:bookmarkEnd w:id="57"/>
            <w:bookmarkEnd w:id="58"/>
            <w:bookmarkEnd w:id="59"/>
            <w:bookmarkEnd w:id="60"/>
          </w:p>
        </w:tc>
      </w:tr>
      <w:tr w14:paraId="4D9BABD5">
        <w:tblPrEx>
          <w:tblCellMar>
            <w:top w:w="0" w:type="dxa"/>
            <w:left w:w="0" w:type="dxa"/>
            <w:bottom w:w="0" w:type="dxa"/>
            <w:right w:w="0" w:type="dxa"/>
          </w:tblCellMar>
        </w:tblPrEx>
        <w:trPr>
          <w:trHeight w:val="1415" w:hRule="exac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64F0">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sz w:val="24"/>
                <w:szCs w:val="24"/>
              </w:rPr>
            </w:pPr>
          </w:p>
          <w:p w14:paraId="5C72E3A2">
            <w:pPr>
              <w:pStyle w:val="8"/>
              <w:keepNext w:val="0"/>
              <w:keepLines w:val="0"/>
              <w:pageBreakBefore w:val="0"/>
              <w:widowControl/>
              <w:kinsoku/>
              <w:wordWrap/>
              <w:overflowPunct/>
              <w:topLinePunct w:val="0"/>
              <w:bidi w:val="0"/>
              <w:spacing w:line="360" w:lineRule="exact"/>
              <w:ind w:firstLine="240" w:firstLineChars="100"/>
              <w:jc w:val="both"/>
              <w:textAlignment w:val="auto"/>
              <w:rPr>
                <w:rFonts w:hint="eastAsia" w:ascii="宋体" w:hAnsi="宋体" w:eastAsia="宋体" w:cs="宋体"/>
                <w:b w:val="0"/>
                <w:color w:val="auto"/>
                <w:sz w:val="24"/>
                <w:szCs w:val="24"/>
              </w:rPr>
            </w:pPr>
            <w:bookmarkStart w:id="61" w:name="_Toc15349"/>
            <w:bookmarkStart w:id="62" w:name="_Toc8868"/>
            <w:bookmarkStart w:id="63" w:name="_Toc20041"/>
            <w:bookmarkStart w:id="64" w:name="_Toc31619"/>
            <w:r>
              <w:rPr>
                <w:rFonts w:hint="eastAsia" w:ascii="宋体" w:hAnsi="宋体" w:eastAsia="宋体" w:cs="宋体"/>
                <w:b w:val="0"/>
                <w:color w:val="auto"/>
                <w:sz w:val="24"/>
                <w:szCs w:val="24"/>
              </w:rPr>
              <w:t>1</w:t>
            </w:r>
            <w:bookmarkEnd w:id="61"/>
            <w:bookmarkEnd w:id="62"/>
            <w:bookmarkEnd w:id="63"/>
            <w:bookmarkEnd w:id="64"/>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AFCB">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采购人</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3358">
            <w:pPr>
              <w:keepNext w:val="0"/>
              <w:keepLines w:val="0"/>
              <w:pageBreakBefore w:val="0"/>
              <w:kinsoku/>
              <w:wordWrap/>
              <w:overflowPunct/>
              <w:topLinePunct w:val="0"/>
              <w:bidi w:val="0"/>
              <w:spacing w:line="360" w:lineRule="exact"/>
              <w:ind w:left="1200" w:hanging="1200" w:hangingChars="5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名  称：</w:t>
            </w:r>
            <w:r>
              <w:rPr>
                <w:rFonts w:hint="eastAsia" w:ascii="宋体" w:hAnsi="宋体" w:eastAsia="宋体" w:cs="宋体"/>
                <w:color w:val="auto"/>
                <w:sz w:val="24"/>
                <w:szCs w:val="24"/>
              </w:rPr>
              <w:t>淮南市</w:t>
            </w:r>
            <w:r>
              <w:rPr>
                <w:rFonts w:hint="eastAsia" w:ascii="宋体" w:hAnsi="宋体" w:eastAsia="宋体" w:cs="宋体"/>
                <w:color w:val="auto"/>
                <w:sz w:val="24"/>
                <w:szCs w:val="24"/>
                <w:lang w:val="en-US" w:eastAsia="zh-CN"/>
              </w:rPr>
              <w:t>应急管理局</w:t>
            </w:r>
          </w:p>
          <w:p w14:paraId="3F0E7880">
            <w:pPr>
              <w:pStyle w:val="8"/>
              <w:keepNext w:val="0"/>
              <w:keepLines w:val="0"/>
              <w:pageBreakBefore w:val="0"/>
              <w:widowControl/>
              <w:kinsoku/>
              <w:wordWrap/>
              <w:overflowPunct/>
              <w:topLinePunct w:val="0"/>
              <w:bidi w:val="0"/>
              <w:spacing w:line="360" w:lineRule="exac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lang w:bidi="ar"/>
              </w:rPr>
              <w:t>地  址：</w:t>
            </w:r>
            <w:r>
              <w:rPr>
                <w:rFonts w:hint="eastAsia" w:ascii="宋体" w:hAnsi="宋体" w:eastAsia="宋体" w:cs="宋体"/>
                <w:b w:val="0"/>
                <w:bCs w:val="0"/>
                <w:color w:val="auto"/>
                <w:sz w:val="24"/>
              </w:rPr>
              <w:t>淮南市山南新区</w:t>
            </w:r>
            <w:r>
              <w:rPr>
                <w:rFonts w:hint="eastAsia" w:ascii="宋体" w:hAnsi="宋体" w:eastAsia="宋体" w:cs="宋体"/>
                <w:b w:val="0"/>
                <w:bCs w:val="0"/>
                <w:color w:val="auto"/>
                <w:sz w:val="24"/>
                <w:lang w:val="en-US" w:eastAsia="zh-CN"/>
              </w:rPr>
              <w:t>民裕东街89号</w:t>
            </w:r>
          </w:p>
          <w:p w14:paraId="7274E843">
            <w:pPr>
              <w:pStyle w:val="8"/>
              <w:keepNext w:val="0"/>
              <w:keepLines w:val="0"/>
              <w:pageBreakBefore w:val="0"/>
              <w:widowControl/>
              <w:kinsoku/>
              <w:wordWrap/>
              <w:overflowPunct/>
              <w:topLinePunct w:val="0"/>
              <w:bidi w:val="0"/>
              <w:spacing w:line="360" w:lineRule="exact"/>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rPr>
              <w:t>联系人：</w:t>
            </w:r>
            <w:r>
              <w:rPr>
                <w:rFonts w:hint="eastAsia" w:ascii="宋体" w:eastAsia="宋体" w:cs="宋体"/>
                <w:b w:val="0"/>
                <w:color w:val="auto"/>
                <w:sz w:val="24"/>
                <w:szCs w:val="24"/>
                <w:lang w:val="en-US" w:eastAsia="zh-CN"/>
              </w:rPr>
              <w:t>马志强</w:t>
            </w:r>
          </w:p>
          <w:p w14:paraId="6CF5B78D">
            <w:pPr>
              <w:pStyle w:val="6"/>
              <w:keepNext w:val="0"/>
              <w:keepLines w:val="0"/>
              <w:pageBreakBefore w:val="0"/>
              <w:kinsoku/>
              <w:wordWrap/>
              <w:overflowPunct/>
              <w:topLinePunct w:val="0"/>
              <w:bidi w:val="0"/>
              <w:spacing w:line="360" w:lineRule="exact"/>
              <w:ind w:right="309"/>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shd w:val="clear" w:color="auto" w:fill="FFFFFF"/>
              </w:rPr>
              <w:t>0554-</w:t>
            </w:r>
            <w:r>
              <w:rPr>
                <w:rFonts w:hint="eastAsia" w:ascii="宋体" w:hAnsi="宋体" w:eastAsia="宋体" w:cs="宋体"/>
                <w:color w:val="auto"/>
                <w:sz w:val="24"/>
                <w:szCs w:val="24"/>
                <w:shd w:val="clear" w:color="auto" w:fill="FFFFFF"/>
                <w:lang w:val="en-US" w:eastAsia="zh-CN"/>
              </w:rPr>
              <w:t>6660561</w:t>
            </w:r>
          </w:p>
        </w:tc>
      </w:tr>
      <w:tr w14:paraId="754BC88E">
        <w:tblPrEx>
          <w:tblCellMar>
            <w:top w:w="0" w:type="dxa"/>
            <w:left w:w="0" w:type="dxa"/>
            <w:bottom w:w="0" w:type="dxa"/>
            <w:right w:w="0" w:type="dxa"/>
          </w:tblCellMar>
        </w:tblPrEx>
        <w:trPr>
          <w:trHeight w:val="499" w:hRule="exac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13C5">
            <w:pPr>
              <w:pStyle w:val="8"/>
              <w:keepNext w:val="0"/>
              <w:keepLines w:val="0"/>
              <w:pageBreakBefore w:val="0"/>
              <w:widowControl/>
              <w:kinsoku/>
              <w:wordWrap/>
              <w:overflowPunct/>
              <w:topLinePunct w:val="0"/>
              <w:bidi w:val="0"/>
              <w:spacing w:line="360" w:lineRule="exact"/>
              <w:ind w:firstLine="240" w:firstLineChars="100"/>
              <w:jc w:val="both"/>
              <w:textAlignment w:val="auto"/>
              <w:rPr>
                <w:rFonts w:hint="eastAsia" w:ascii="宋体" w:hAnsi="宋体" w:eastAsia="宋体" w:cs="宋体"/>
                <w:b w:val="0"/>
                <w:color w:val="auto"/>
                <w:sz w:val="24"/>
                <w:szCs w:val="24"/>
                <w:lang w:val="en-US" w:eastAsia="zh-CN"/>
              </w:rPr>
            </w:pPr>
            <w:r>
              <w:rPr>
                <w:rFonts w:hint="eastAsia" w:ascii="宋体" w:eastAsia="宋体" w:cs="宋体"/>
                <w:b w:val="0"/>
                <w:color w:val="auto"/>
                <w:sz w:val="24"/>
                <w:szCs w:val="24"/>
                <w:lang w:val="en-US" w:eastAsia="zh-CN"/>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728D">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65" w:name="_Toc26365"/>
            <w:bookmarkStart w:id="66" w:name="_Toc20465"/>
            <w:bookmarkStart w:id="67" w:name="_Toc26767"/>
            <w:bookmarkStart w:id="68" w:name="_Toc9742"/>
            <w:r>
              <w:rPr>
                <w:rFonts w:hint="eastAsia" w:ascii="宋体" w:hAnsi="宋体" w:eastAsia="宋体" w:cs="宋体"/>
                <w:b w:val="0"/>
                <w:color w:val="auto"/>
                <w:sz w:val="24"/>
                <w:szCs w:val="24"/>
              </w:rPr>
              <w:t>项目名称</w:t>
            </w:r>
            <w:bookmarkEnd w:id="65"/>
            <w:bookmarkEnd w:id="66"/>
            <w:bookmarkEnd w:id="67"/>
            <w:bookmarkEnd w:id="68"/>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FC4A">
            <w:pPr>
              <w:keepNext w:val="0"/>
              <w:keepLines w:val="0"/>
              <w:pageBreakBefore w:val="0"/>
              <w:widowControl/>
              <w:kinsoku/>
              <w:wordWrap/>
              <w:overflowPunct/>
              <w:topLinePunct w:val="0"/>
              <w:bidi w:val="0"/>
              <w:spacing w:line="36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 xml:space="preserve"> </w:t>
            </w:r>
            <w:r>
              <w:rPr>
                <w:rFonts w:hint="eastAsia" w:ascii="宋体" w:hAnsi="宋体" w:eastAsia="宋体" w:cs="宋体"/>
                <w:color w:val="auto"/>
                <w:spacing w:val="-4"/>
                <w:sz w:val="24"/>
                <w:szCs w:val="24"/>
                <w:lang w:eastAsia="zh-CN"/>
              </w:rPr>
              <w:t>淮南市</w:t>
            </w:r>
            <w:r>
              <w:rPr>
                <w:rFonts w:hint="eastAsia" w:ascii="宋体" w:hAnsi="宋体" w:eastAsia="宋体" w:cs="宋体"/>
                <w:color w:val="auto"/>
                <w:spacing w:val="-4"/>
                <w:sz w:val="24"/>
                <w:szCs w:val="24"/>
                <w:lang w:val="en-US" w:eastAsia="zh-CN"/>
              </w:rPr>
              <w:t>应急管理</w:t>
            </w:r>
            <w:r>
              <w:rPr>
                <w:rFonts w:hint="eastAsia" w:ascii="宋体" w:hAnsi="宋体" w:eastAsia="宋体" w:cs="宋体"/>
                <w:color w:val="auto"/>
                <w:spacing w:val="-4"/>
                <w:sz w:val="24"/>
                <w:szCs w:val="24"/>
                <w:lang w:eastAsia="zh-CN"/>
              </w:rPr>
              <w:t>局信息化运维服务项目</w:t>
            </w:r>
          </w:p>
        </w:tc>
      </w:tr>
      <w:tr w14:paraId="79A64447">
        <w:tblPrEx>
          <w:tblCellMar>
            <w:top w:w="0" w:type="dxa"/>
            <w:left w:w="0" w:type="dxa"/>
            <w:bottom w:w="0" w:type="dxa"/>
            <w:right w:w="0" w:type="dxa"/>
          </w:tblCellMar>
        </w:tblPrEx>
        <w:trPr>
          <w:trHeight w:val="444" w:hRule="exac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997E">
            <w:pPr>
              <w:pStyle w:val="8"/>
              <w:keepNext w:val="0"/>
              <w:keepLines w:val="0"/>
              <w:pageBreakBefore w:val="0"/>
              <w:widowControl/>
              <w:kinsoku/>
              <w:wordWrap/>
              <w:overflowPunct/>
              <w:topLinePunct w:val="0"/>
              <w:bidi w:val="0"/>
              <w:spacing w:line="360" w:lineRule="exact"/>
              <w:ind w:firstLine="240" w:firstLineChars="100"/>
              <w:jc w:val="both"/>
              <w:textAlignment w:val="auto"/>
              <w:rPr>
                <w:rFonts w:hint="eastAsia" w:ascii="宋体" w:hAnsi="宋体" w:eastAsia="宋体" w:cs="宋体"/>
                <w:b w:val="0"/>
                <w:color w:val="auto"/>
                <w:sz w:val="24"/>
                <w:szCs w:val="24"/>
                <w:lang w:eastAsia="zh-CN"/>
              </w:rPr>
            </w:pPr>
            <w:r>
              <w:rPr>
                <w:rFonts w:hint="eastAsia" w:ascii="宋体" w:eastAsia="宋体" w:cs="宋体"/>
                <w:b w:val="0"/>
                <w:color w:val="auto"/>
                <w:sz w:val="24"/>
                <w:szCs w:val="24"/>
                <w:lang w:val="en-US" w:eastAsia="zh-CN"/>
              </w:rPr>
              <w:t>3</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D573">
            <w:pPr>
              <w:pStyle w:val="21"/>
              <w:keepNext w:val="0"/>
              <w:keepLines w:val="0"/>
              <w:pageBreakBefore w:val="0"/>
              <w:kinsoku/>
              <w:wordWrap/>
              <w:overflowPunct/>
              <w:topLinePunct w:val="0"/>
              <w:bidi w:val="0"/>
              <w:spacing w:before="0" w:beforeAutospacing="0" w:after="0" w:afterAutospacing="0" w:line="360" w:lineRule="exact"/>
              <w:textAlignment w:val="auto"/>
              <w:rPr>
                <w:rFonts w:hint="eastAsia" w:ascii="宋体" w:hAnsi="宋体" w:eastAsia="宋体" w:cs="宋体"/>
                <w:b w:val="0"/>
                <w:color w:val="auto"/>
                <w:sz w:val="24"/>
                <w:szCs w:val="24"/>
              </w:rPr>
            </w:pPr>
            <w:r>
              <w:rPr>
                <w:rFonts w:hint="eastAsia" w:ascii="宋体" w:hAnsi="宋体" w:eastAsia="宋体" w:cs="宋体"/>
                <w:b w:val="0"/>
                <w:bCs w:val="0"/>
                <w:color w:val="auto"/>
                <w:sz w:val="24"/>
                <w:szCs w:val="24"/>
              </w:rPr>
              <w:t>标段划分</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8574">
            <w:pPr>
              <w:pStyle w:val="21"/>
              <w:keepNext w:val="0"/>
              <w:keepLines w:val="0"/>
              <w:pageBreakBefore w:val="0"/>
              <w:kinsoku/>
              <w:wordWrap/>
              <w:overflowPunct/>
              <w:topLinePunct w:val="0"/>
              <w:bidi w:val="0"/>
              <w:spacing w:before="0" w:beforeAutospacing="0" w:after="0" w:afterAutospacing="0" w:line="360" w:lineRule="exact"/>
              <w:jc w:val="both"/>
              <w:textAlignment w:val="auto"/>
              <w:rPr>
                <w:rFonts w:hint="eastAsia" w:ascii="宋体" w:hAnsi="宋体" w:eastAsia="宋体" w:cs="宋体"/>
                <w:b w:val="0"/>
                <w:color w:val="auto"/>
                <w:sz w:val="24"/>
                <w:szCs w:val="24"/>
              </w:rPr>
            </w:pPr>
            <w:r>
              <w:rPr>
                <w:rFonts w:hint="eastAsia" w:ascii="宋体" w:hAnsi="宋体" w:eastAsia="宋体" w:cs="宋体"/>
                <w:b w:val="0"/>
                <w:snapToGrid w:val="0"/>
                <w:color w:val="auto"/>
                <w:sz w:val="24"/>
                <w:szCs w:val="24"/>
              </w:rPr>
              <w:t>一个标段</w:t>
            </w:r>
          </w:p>
        </w:tc>
      </w:tr>
      <w:tr w14:paraId="7C0CC91B">
        <w:tblPrEx>
          <w:tblCellMar>
            <w:top w:w="0" w:type="dxa"/>
            <w:left w:w="0" w:type="dxa"/>
            <w:bottom w:w="0" w:type="dxa"/>
            <w:right w:w="0" w:type="dxa"/>
          </w:tblCellMar>
        </w:tblPrEx>
        <w:trPr>
          <w:trHeight w:val="519" w:hRule="exac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5703">
            <w:pPr>
              <w:pStyle w:val="8"/>
              <w:keepNext w:val="0"/>
              <w:keepLines w:val="0"/>
              <w:pageBreakBefore w:val="0"/>
              <w:widowControl/>
              <w:kinsoku/>
              <w:wordWrap/>
              <w:overflowPunct/>
              <w:topLinePunct w:val="0"/>
              <w:bidi w:val="0"/>
              <w:spacing w:line="360" w:lineRule="exact"/>
              <w:ind w:firstLine="240" w:firstLineChars="100"/>
              <w:jc w:val="both"/>
              <w:textAlignment w:val="auto"/>
              <w:rPr>
                <w:rFonts w:hint="eastAsia" w:ascii="宋体" w:hAnsi="宋体" w:eastAsia="宋体" w:cs="宋体"/>
                <w:b w:val="0"/>
                <w:color w:val="auto"/>
                <w:sz w:val="24"/>
                <w:szCs w:val="24"/>
                <w:lang w:eastAsia="zh-CN"/>
              </w:rPr>
            </w:pPr>
            <w:r>
              <w:rPr>
                <w:rFonts w:hint="eastAsia" w:ascii="宋体" w:eastAsia="宋体" w:cs="宋体"/>
                <w:b w:val="0"/>
                <w:color w:val="auto"/>
                <w:sz w:val="24"/>
                <w:szCs w:val="24"/>
                <w:lang w:val="en-US" w:eastAsia="zh-CN"/>
              </w:rPr>
              <w:t>4</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CEEA">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69" w:name="_Toc26661"/>
            <w:bookmarkStart w:id="70" w:name="_Toc17299"/>
            <w:bookmarkStart w:id="71" w:name="_Toc27407"/>
            <w:bookmarkStart w:id="72" w:name="_Toc24367"/>
            <w:r>
              <w:rPr>
                <w:rFonts w:hint="eastAsia" w:ascii="宋体" w:hAnsi="宋体" w:eastAsia="宋体" w:cs="宋体"/>
                <w:b w:val="0"/>
                <w:color w:val="auto"/>
                <w:sz w:val="24"/>
                <w:szCs w:val="24"/>
              </w:rPr>
              <w:t>资金来源</w:t>
            </w:r>
            <w:bookmarkEnd w:id="69"/>
            <w:bookmarkEnd w:id="70"/>
            <w:bookmarkEnd w:id="71"/>
            <w:bookmarkEnd w:id="72"/>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B779">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sz w:val="24"/>
                <w:szCs w:val="24"/>
              </w:rPr>
            </w:pPr>
            <w:bookmarkStart w:id="73" w:name="_Toc18480"/>
            <w:bookmarkStart w:id="74" w:name="_Toc981"/>
            <w:bookmarkStart w:id="75" w:name="_Toc8464"/>
            <w:bookmarkStart w:id="76" w:name="_Toc13876"/>
            <w:r>
              <w:rPr>
                <w:rFonts w:hint="eastAsia" w:ascii="宋体" w:hAnsi="宋体" w:eastAsia="宋体" w:cs="宋体"/>
                <w:b w:val="0"/>
                <w:color w:val="auto"/>
                <w:sz w:val="24"/>
                <w:szCs w:val="24"/>
              </w:rPr>
              <w:t>财政资金</w:t>
            </w:r>
            <w:bookmarkEnd w:id="73"/>
            <w:bookmarkEnd w:id="74"/>
            <w:bookmarkEnd w:id="75"/>
            <w:bookmarkEnd w:id="76"/>
          </w:p>
        </w:tc>
      </w:tr>
      <w:tr w14:paraId="41E0CD94">
        <w:tblPrEx>
          <w:tblCellMar>
            <w:top w:w="0" w:type="dxa"/>
            <w:left w:w="0" w:type="dxa"/>
            <w:bottom w:w="0" w:type="dxa"/>
            <w:right w:w="0" w:type="dxa"/>
          </w:tblCellMar>
        </w:tblPrEx>
        <w:trPr>
          <w:trHeight w:val="529" w:hRule="exac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6369">
            <w:pPr>
              <w:pStyle w:val="8"/>
              <w:keepNext w:val="0"/>
              <w:keepLines w:val="0"/>
              <w:pageBreakBefore w:val="0"/>
              <w:widowControl/>
              <w:kinsoku/>
              <w:wordWrap/>
              <w:overflowPunct/>
              <w:topLinePunct w:val="0"/>
              <w:bidi w:val="0"/>
              <w:spacing w:line="360" w:lineRule="exact"/>
              <w:ind w:firstLine="240" w:firstLineChars="100"/>
              <w:jc w:val="both"/>
              <w:textAlignment w:val="auto"/>
              <w:rPr>
                <w:rFonts w:hint="eastAsia" w:ascii="宋体" w:hAnsi="宋体" w:eastAsia="宋体" w:cs="宋体"/>
                <w:b w:val="0"/>
                <w:color w:val="auto"/>
                <w:sz w:val="24"/>
                <w:szCs w:val="24"/>
                <w:lang w:eastAsia="zh-CN"/>
              </w:rPr>
            </w:pPr>
            <w:r>
              <w:rPr>
                <w:rFonts w:hint="eastAsia" w:ascii="宋体" w:eastAsia="宋体" w:cs="宋体"/>
                <w:b w:val="0"/>
                <w:color w:val="auto"/>
                <w:sz w:val="24"/>
                <w:szCs w:val="24"/>
                <w:lang w:val="en-US" w:eastAsia="zh-CN"/>
              </w:rPr>
              <w:t>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F976">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77" w:name="_Toc21680"/>
            <w:bookmarkStart w:id="78" w:name="_Toc28384"/>
            <w:bookmarkStart w:id="79" w:name="_Toc8453"/>
            <w:bookmarkStart w:id="80" w:name="_Toc8814"/>
            <w:r>
              <w:rPr>
                <w:rFonts w:hint="eastAsia" w:ascii="宋体" w:hAnsi="宋体" w:eastAsia="宋体" w:cs="宋体"/>
                <w:b w:val="0"/>
                <w:color w:val="auto"/>
                <w:sz w:val="24"/>
                <w:szCs w:val="24"/>
              </w:rPr>
              <w:t>资金落实情况</w:t>
            </w:r>
            <w:bookmarkEnd w:id="77"/>
            <w:bookmarkEnd w:id="78"/>
            <w:bookmarkEnd w:id="79"/>
            <w:bookmarkEnd w:id="80"/>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B20D">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sz w:val="24"/>
                <w:szCs w:val="24"/>
              </w:rPr>
            </w:pPr>
            <w:bookmarkStart w:id="81" w:name="_Toc4112"/>
            <w:bookmarkStart w:id="82" w:name="_Toc30108"/>
            <w:bookmarkStart w:id="83" w:name="_Toc25643"/>
            <w:bookmarkStart w:id="84" w:name="_Toc32259"/>
            <w:r>
              <w:rPr>
                <w:rFonts w:hint="eastAsia" w:ascii="宋体" w:hAnsi="宋体" w:eastAsia="宋体" w:cs="宋体"/>
                <w:b w:val="0"/>
                <w:color w:val="auto"/>
                <w:sz w:val="24"/>
                <w:szCs w:val="24"/>
              </w:rPr>
              <w:t>已落实</w:t>
            </w:r>
            <w:bookmarkEnd w:id="81"/>
            <w:bookmarkEnd w:id="82"/>
            <w:bookmarkEnd w:id="83"/>
            <w:bookmarkEnd w:id="84"/>
          </w:p>
        </w:tc>
      </w:tr>
      <w:tr w14:paraId="61A5F8A9">
        <w:tblPrEx>
          <w:tblCellMar>
            <w:top w:w="0" w:type="dxa"/>
            <w:left w:w="0" w:type="dxa"/>
            <w:bottom w:w="0" w:type="dxa"/>
            <w:right w:w="0" w:type="dxa"/>
          </w:tblCellMar>
        </w:tblPrEx>
        <w:trPr>
          <w:trHeight w:val="540" w:hRule="exac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222C">
            <w:pPr>
              <w:pStyle w:val="8"/>
              <w:keepNext w:val="0"/>
              <w:keepLines w:val="0"/>
              <w:pageBreakBefore w:val="0"/>
              <w:widowControl/>
              <w:kinsoku/>
              <w:wordWrap/>
              <w:overflowPunct/>
              <w:topLinePunct w:val="0"/>
              <w:bidi w:val="0"/>
              <w:spacing w:line="360" w:lineRule="exact"/>
              <w:ind w:firstLine="240" w:firstLineChars="100"/>
              <w:jc w:val="both"/>
              <w:textAlignment w:val="auto"/>
              <w:rPr>
                <w:rFonts w:hint="eastAsia" w:ascii="宋体" w:hAnsi="宋体" w:eastAsia="宋体" w:cs="宋体"/>
                <w:b w:val="0"/>
                <w:color w:val="auto"/>
                <w:sz w:val="24"/>
                <w:szCs w:val="24"/>
                <w:lang w:eastAsia="zh-CN"/>
              </w:rPr>
            </w:pPr>
            <w:r>
              <w:rPr>
                <w:rFonts w:hint="eastAsia" w:ascii="宋体" w:eastAsia="宋体" w:cs="宋体"/>
                <w:b w:val="0"/>
                <w:color w:val="auto"/>
                <w:sz w:val="24"/>
                <w:szCs w:val="24"/>
                <w:lang w:val="en-US" w:eastAsia="zh-CN"/>
              </w:rPr>
              <w:t>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124D">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85" w:name="_Toc18419"/>
            <w:bookmarkStart w:id="86" w:name="_Toc1343"/>
            <w:bookmarkStart w:id="87" w:name="_Toc21061"/>
            <w:bookmarkStart w:id="88" w:name="_Toc12049"/>
            <w:r>
              <w:rPr>
                <w:rFonts w:hint="eastAsia" w:ascii="宋体" w:hAnsi="宋体" w:eastAsia="宋体" w:cs="宋体"/>
                <w:b w:val="0"/>
                <w:color w:val="auto"/>
                <w:sz w:val="24"/>
                <w:szCs w:val="24"/>
              </w:rPr>
              <w:t>服务范围</w:t>
            </w:r>
            <w:bookmarkEnd w:id="85"/>
            <w:bookmarkEnd w:id="86"/>
            <w:bookmarkEnd w:id="87"/>
            <w:bookmarkEnd w:id="88"/>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B517">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sz w:val="24"/>
                <w:szCs w:val="24"/>
              </w:rPr>
            </w:pPr>
            <w:bookmarkStart w:id="89" w:name="_Toc30579"/>
            <w:bookmarkStart w:id="90" w:name="_Toc14235"/>
            <w:bookmarkStart w:id="91" w:name="_Toc32573"/>
            <w:bookmarkStart w:id="92" w:name="_Toc12454"/>
            <w:r>
              <w:rPr>
                <w:rFonts w:hint="eastAsia" w:ascii="宋体" w:hAnsi="宋体" w:eastAsia="宋体" w:cs="宋体"/>
                <w:b w:val="0"/>
                <w:color w:val="auto"/>
                <w:sz w:val="24"/>
                <w:szCs w:val="24"/>
              </w:rPr>
              <w:t>详见采购需求答疑文件等全部内容</w:t>
            </w:r>
            <w:bookmarkEnd w:id="89"/>
            <w:bookmarkEnd w:id="90"/>
            <w:bookmarkEnd w:id="91"/>
            <w:bookmarkEnd w:id="92"/>
          </w:p>
        </w:tc>
      </w:tr>
      <w:tr w14:paraId="156E78C8">
        <w:tblPrEx>
          <w:tblCellMar>
            <w:top w:w="0" w:type="dxa"/>
            <w:left w:w="0" w:type="dxa"/>
            <w:bottom w:w="0" w:type="dxa"/>
            <w:right w:w="0" w:type="dxa"/>
          </w:tblCellMar>
        </w:tblPrEx>
        <w:trPr>
          <w:trHeight w:val="807" w:hRule="exac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6391">
            <w:pPr>
              <w:pStyle w:val="8"/>
              <w:keepNext w:val="0"/>
              <w:keepLines w:val="0"/>
              <w:pageBreakBefore w:val="0"/>
              <w:widowControl/>
              <w:kinsoku/>
              <w:wordWrap/>
              <w:overflowPunct/>
              <w:topLinePunct w:val="0"/>
              <w:bidi w:val="0"/>
              <w:spacing w:line="360" w:lineRule="exact"/>
              <w:ind w:firstLine="240" w:firstLineChars="100"/>
              <w:jc w:val="both"/>
              <w:textAlignment w:val="auto"/>
              <w:rPr>
                <w:rFonts w:hint="eastAsia" w:ascii="宋体" w:hAnsi="宋体" w:eastAsia="宋体" w:cs="宋体"/>
                <w:b w:val="0"/>
                <w:color w:val="auto"/>
                <w:sz w:val="24"/>
                <w:szCs w:val="24"/>
                <w:lang w:eastAsia="zh-CN"/>
              </w:rPr>
            </w:pPr>
            <w:r>
              <w:rPr>
                <w:rFonts w:hint="eastAsia" w:ascii="宋体" w:eastAsia="宋体" w:cs="宋体"/>
                <w:b w:val="0"/>
                <w:color w:val="auto"/>
                <w:sz w:val="24"/>
                <w:szCs w:val="24"/>
                <w:lang w:val="en-US" w:eastAsia="zh-CN"/>
              </w:rPr>
              <w:t>7</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E838">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93" w:name="_Toc3488"/>
            <w:bookmarkStart w:id="94" w:name="_Toc18840"/>
            <w:bookmarkStart w:id="95" w:name="_Toc20382"/>
            <w:bookmarkStart w:id="96" w:name="_Toc21015"/>
            <w:r>
              <w:rPr>
                <w:rFonts w:hint="eastAsia" w:ascii="宋体" w:hAnsi="宋体" w:eastAsia="宋体" w:cs="宋体"/>
                <w:b w:val="0"/>
                <w:color w:val="auto"/>
                <w:sz w:val="24"/>
                <w:szCs w:val="24"/>
              </w:rPr>
              <w:t>报价要求</w:t>
            </w:r>
            <w:bookmarkEnd w:id="93"/>
            <w:bookmarkEnd w:id="94"/>
            <w:bookmarkEnd w:id="95"/>
            <w:bookmarkEnd w:id="96"/>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D261">
            <w:pPr>
              <w:pStyle w:val="22"/>
              <w:keepNext w:val="0"/>
              <w:keepLines w:val="0"/>
              <w:pageBreakBefore w:val="0"/>
              <w:widowControl/>
              <w:kinsoku/>
              <w:wordWrap/>
              <w:overflowPunct/>
              <w:topLinePunct w:val="0"/>
              <w:bidi w:val="0"/>
              <w:spacing w:line="360" w:lineRule="exact"/>
              <w:ind w:left="102"/>
              <w:textAlignment w:val="auto"/>
              <w:rPr>
                <w:rFonts w:hint="eastAsia" w:ascii="宋体" w:hAnsi="宋体" w:eastAsia="宋体" w:cs="宋体"/>
                <w:color w:val="auto"/>
                <w:sz w:val="24"/>
                <w:szCs w:val="24"/>
              </w:rPr>
            </w:pPr>
            <w:bookmarkStart w:id="97" w:name="_Toc25959"/>
            <w:r>
              <w:rPr>
                <w:rFonts w:hint="eastAsia" w:ascii="宋体" w:hAnsi="宋体" w:eastAsia="宋体" w:cs="宋体"/>
                <w:color w:val="auto"/>
                <w:sz w:val="24"/>
                <w:szCs w:val="24"/>
              </w:rPr>
              <w:t>投标报价为完成本项目本年度服务所发生的一切费用，供应商成交后不受市场波动增加服务费。</w:t>
            </w:r>
          </w:p>
          <w:bookmarkEnd w:id="97"/>
          <w:p w14:paraId="589B2540">
            <w:pPr>
              <w:keepNext w:val="0"/>
              <w:keepLines w:val="0"/>
              <w:pageBreakBefore w:val="0"/>
              <w:widowControl/>
              <w:kinsoku/>
              <w:wordWrap/>
              <w:overflowPunct/>
              <w:topLinePunct w:val="0"/>
              <w:bidi w:val="0"/>
              <w:spacing w:line="360" w:lineRule="exact"/>
              <w:ind w:firstLine="240" w:firstLineChars="100"/>
              <w:textAlignment w:val="auto"/>
              <w:rPr>
                <w:rFonts w:hint="eastAsia" w:ascii="宋体" w:hAnsi="宋体" w:eastAsia="宋体" w:cs="宋体"/>
                <w:color w:val="auto"/>
                <w:sz w:val="24"/>
                <w:szCs w:val="24"/>
              </w:rPr>
            </w:pPr>
          </w:p>
        </w:tc>
      </w:tr>
      <w:tr w14:paraId="0CBED365">
        <w:tblPrEx>
          <w:tblCellMar>
            <w:top w:w="0" w:type="dxa"/>
            <w:left w:w="0" w:type="dxa"/>
            <w:bottom w:w="0" w:type="dxa"/>
            <w:right w:w="0" w:type="dxa"/>
          </w:tblCellMar>
        </w:tblPrEx>
        <w:trPr>
          <w:trHeight w:val="545" w:hRule="exac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ADB9">
            <w:pPr>
              <w:pStyle w:val="8"/>
              <w:keepNext w:val="0"/>
              <w:keepLines w:val="0"/>
              <w:pageBreakBefore w:val="0"/>
              <w:widowControl/>
              <w:kinsoku/>
              <w:wordWrap/>
              <w:overflowPunct/>
              <w:topLinePunct w:val="0"/>
              <w:bidi w:val="0"/>
              <w:spacing w:line="360" w:lineRule="exact"/>
              <w:ind w:firstLine="240" w:firstLineChars="100"/>
              <w:jc w:val="both"/>
              <w:textAlignment w:val="auto"/>
              <w:rPr>
                <w:rFonts w:hint="eastAsia" w:ascii="宋体" w:hAnsi="宋体" w:eastAsia="宋体" w:cs="宋体"/>
                <w:b w:val="0"/>
                <w:color w:val="auto"/>
                <w:sz w:val="24"/>
                <w:szCs w:val="24"/>
                <w:lang w:eastAsia="zh-CN"/>
              </w:rPr>
            </w:pPr>
            <w:r>
              <w:rPr>
                <w:rFonts w:hint="eastAsia" w:ascii="宋体" w:eastAsia="宋体" w:cs="宋体"/>
                <w:b w:val="0"/>
                <w:color w:val="auto"/>
                <w:sz w:val="24"/>
                <w:szCs w:val="24"/>
                <w:lang w:val="en-US" w:eastAsia="zh-CN"/>
              </w:rPr>
              <w:t>8</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4973">
            <w:pPr>
              <w:pStyle w:val="8"/>
              <w:keepNext w:val="0"/>
              <w:keepLines w:val="0"/>
              <w:pageBreakBefore w:val="0"/>
              <w:widowControl/>
              <w:kinsoku/>
              <w:wordWrap/>
              <w:overflowPunct/>
              <w:topLinePunct w:val="0"/>
              <w:bidi w:val="0"/>
              <w:spacing w:line="360" w:lineRule="exact"/>
              <w:ind w:firstLine="240" w:firstLineChars="100"/>
              <w:jc w:val="both"/>
              <w:textAlignment w:val="auto"/>
              <w:rPr>
                <w:rFonts w:hint="eastAsia" w:ascii="宋体" w:hAnsi="宋体" w:eastAsia="宋体" w:cs="宋体"/>
                <w:b w:val="0"/>
                <w:color w:val="auto"/>
                <w:sz w:val="24"/>
                <w:szCs w:val="24"/>
              </w:rPr>
            </w:pPr>
            <w:bookmarkStart w:id="98" w:name="_Toc25543"/>
            <w:bookmarkStart w:id="99" w:name="_Toc18662"/>
            <w:r>
              <w:rPr>
                <w:rFonts w:hint="eastAsia" w:ascii="宋体" w:hAnsi="宋体" w:eastAsia="宋体" w:cs="宋体"/>
                <w:b w:val="0"/>
                <w:color w:val="auto"/>
                <w:sz w:val="24"/>
                <w:szCs w:val="24"/>
                <w:lang w:eastAsia="zh-CN"/>
              </w:rPr>
              <w:t>服务</w:t>
            </w:r>
            <w:r>
              <w:rPr>
                <w:rFonts w:hint="eastAsia" w:ascii="宋体" w:hAnsi="宋体" w:eastAsia="宋体" w:cs="宋体"/>
                <w:b w:val="0"/>
                <w:color w:val="auto"/>
                <w:sz w:val="24"/>
                <w:szCs w:val="24"/>
              </w:rPr>
              <w:t>期</w:t>
            </w:r>
            <w:bookmarkEnd w:id="98"/>
            <w:bookmarkEnd w:id="99"/>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8AEF">
            <w:pPr>
              <w:keepNext w:val="0"/>
              <w:keepLines w:val="0"/>
              <w:pageBreakBefore w:val="0"/>
              <w:widowControl/>
              <w:kinsoku/>
              <w:wordWrap/>
              <w:overflowPunct/>
              <w:topLinePunct w:val="0"/>
              <w:bidi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b w:val="0"/>
                <w:color w:val="auto"/>
                <w:kern w:val="2"/>
                <w:sz w:val="24"/>
                <w:szCs w:val="24"/>
              </w:rPr>
              <w:t>一年(1+1+1共三年）</w:t>
            </w:r>
            <w:r>
              <w:rPr>
                <w:rFonts w:hint="eastAsia" w:ascii="宋体" w:hAnsi="宋体" w:eastAsia="宋体" w:cs="宋体"/>
                <w:b w:val="0"/>
                <w:bCs/>
                <w:color w:val="auto"/>
                <w:sz w:val="24"/>
                <w:szCs w:val="24"/>
              </w:rPr>
              <w:t>服务满意后，续签合同</w:t>
            </w:r>
          </w:p>
        </w:tc>
      </w:tr>
      <w:tr w14:paraId="73715DED">
        <w:tblPrEx>
          <w:tblCellMar>
            <w:top w:w="0" w:type="dxa"/>
            <w:left w:w="0" w:type="dxa"/>
            <w:bottom w:w="0" w:type="dxa"/>
            <w:right w:w="0" w:type="dxa"/>
          </w:tblCellMar>
        </w:tblPrEx>
        <w:trPr>
          <w:trHeight w:val="527" w:hRule="exac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3763">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eastAsia="zh-CN"/>
              </w:rPr>
            </w:pPr>
            <w:r>
              <w:rPr>
                <w:rFonts w:hint="eastAsia" w:ascii="宋体" w:eastAsia="宋体" w:cs="宋体"/>
                <w:b w:val="0"/>
                <w:color w:val="auto"/>
                <w:sz w:val="24"/>
                <w:szCs w:val="24"/>
                <w:lang w:val="en-US" w:eastAsia="zh-CN"/>
              </w:rPr>
              <w:t>9</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F2A9">
            <w:pPr>
              <w:pStyle w:val="8"/>
              <w:keepNext w:val="0"/>
              <w:keepLines w:val="0"/>
              <w:pageBreakBefore w:val="0"/>
              <w:widowControl/>
              <w:kinsoku/>
              <w:wordWrap/>
              <w:overflowPunct/>
              <w:topLinePunct w:val="0"/>
              <w:bidi w:val="0"/>
              <w:spacing w:line="360" w:lineRule="exact"/>
              <w:ind w:firstLine="240" w:firstLineChars="100"/>
              <w:jc w:val="both"/>
              <w:textAlignment w:val="auto"/>
              <w:rPr>
                <w:rFonts w:hint="eastAsia" w:ascii="宋体" w:hAnsi="宋体" w:eastAsia="宋体" w:cs="宋体"/>
                <w:b w:val="0"/>
                <w:color w:val="auto"/>
                <w:sz w:val="24"/>
                <w:szCs w:val="24"/>
              </w:rPr>
            </w:pPr>
            <w:bookmarkStart w:id="100" w:name="_Toc22017"/>
            <w:r>
              <w:rPr>
                <w:rFonts w:hint="eastAsia" w:ascii="宋体" w:hAnsi="宋体" w:eastAsia="宋体" w:cs="宋体"/>
                <w:b w:val="0"/>
                <w:color w:val="auto"/>
                <w:sz w:val="24"/>
                <w:szCs w:val="24"/>
              </w:rPr>
              <w:t>质量要求</w:t>
            </w:r>
            <w:bookmarkEnd w:id="100"/>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6E12">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kern w:val="2"/>
                <w:sz w:val="24"/>
                <w:szCs w:val="24"/>
              </w:rPr>
            </w:pPr>
            <w:bookmarkStart w:id="101" w:name="_Toc31250"/>
            <w:r>
              <w:rPr>
                <w:rFonts w:hint="eastAsia" w:ascii="宋体" w:hAnsi="宋体" w:eastAsia="宋体" w:cs="宋体"/>
                <w:b w:val="0"/>
                <w:color w:val="auto"/>
                <w:sz w:val="24"/>
                <w:szCs w:val="24"/>
              </w:rPr>
              <w:t>验收合格</w:t>
            </w:r>
            <w:bookmarkEnd w:id="101"/>
          </w:p>
        </w:tc>
      </w:tr>
      <w:tr w14:paraId="42CE0E4E">
        <w:tblPrEx>
          <w:tblCellMar>
            <w:top w:w="0" w:type="dxa"/>
            <w:left w:w="0" w:type="dxa"/>
            <w:bottom w:w="0" w:type="dxa"/>
            <w:right w:w="0" w:type="dxa"/>
          </w:tblCellMar>
        </w:tblPrEx>
        <w:trPr>
          <w:trHeight w:val="591" w:hRule="exac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177F">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eastAsia="zh-CN"/>
              </w:rPr>
            </w:pPr>
            <w:bookmarkStart w:id="102" w:name="_Toc22107"/>
            <w:bookmarkStart w:id="103" w:name="_Toc27599"/>
            <w:r>
              <w:rPr>
                <w:rFonts w:hint="eastAsia" w:ascii="宋体" w:hAnsi="宋体" w:eastAsia="宋体" w:cs="宋体"/>
                <w:b w:val="0"/>
                <w:color w:val="auto"/>
                <w:sz w:val="24"/>
                <w:szCs w:val="24"/>
              </w:rPr>
              <w:t>1</w:t>
            </w:r>
            <w:bookmarkEnd w:id="102"/>
            <w:bookmarkEnd w:id="103"/>
            <w:r>
              <w:rPr>
                <w:rFonts w:hint="eastAsia" w:ascii="宋体" w:eastAsia="宋体" w:cs="宋体"/>
                <w:b w:val="0"/>
                <w:color w:val="auto"/>
                <w:sz w:val="24"/>
                <w:szCs w:val="24"/>
                <w:lang w:val="en-US" w:eastAsia="zh-CN"/>
              </w:rPr>
              <w:t>0</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26EF">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104" w:name="_Toc25390"/>
            <w:r>
              <w:rPr>
                <w:rFonts w:hint="eastAsia" w:ascii="宋体" w:hAnsi="宋体" w:eastAsia="宋体" w:cs="宋体"/>
                <w:b w:val="0"/>
                <w:color w:val="auto"/>
                <w:sz w:val="24"/>
                <w:szCs w:val="24"/>
              </w:rPr>
              <w:t>供应商资质条件</w:t>
            </w:r>
            <w:bookmarkEnd w:id="104"/>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6244">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sz w:val="24"/>
                <w:szCs w:val="24"/>
              </w:rPr>
            </w:pPr>
            <w:bookmarkStart w:id="105" w:name="_Toc29692"/>
            <w:r>
              <w:rPr>
                <w:rFonts w:hint="eastAsia" w:ascii="宋体" w:hAnsi="宋体" w:eastAsia="宋体" w:cs="宋体"/>
                <w:b w:val="0"/>
                <w:color w:val="auto"/>
                <w:sz w:val="24"/>
                <w:szCs w:val="24"/>
              </w:rPr>
              <w:t>详见磋商公告</w:t>
            </w:r>
            <w:bookmarkEnd w:id="105"/>
          </w:p>
        </w:tc>
      </w:tr>
      <w:tr w14:paraId="509C3F34">
        <w:tblPrEx>
          <w:tblCellMar>
            <w:top w:w="0" w:type="dxa"/>
            <w:left w:w="0" w:type="dxa"/>
            <w:bottom w:w="0" w:type="dxa"/>
            <w:right w:w="0" w:type="dxa"/>
          </w:tblCellMar>
        </w:tblPrEx>
        <w:trPr>
          <w:trHeight w:val="781" w:hRule="exac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F7E1">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eastAsia="zh-CN"/>
              </w:rPr>
            </w:pPr>
            <w:bookmarkStart w:id="106" w:name="_Toc16620"/>
            <w:bookmarkStart w:id="107" w:name="_Toc9896"/>
            <w:r>
              <w:rPr>
                <w:rFonts w:hint="eastAsia" w:ascii="宋体" w:hAnsi="宋体" w:eastAsia="宋体" w:cs="宋体"/>
                <w:b w:val="0"/>
                <w:color w:val="auto"/>
                <w:sz w:val="24"/>
                <w:szCs w:val="24"/>
              </w:rPr>
              <w:t>1</w:t>
            </w:r>
            <w:bookmarkEnd w:id="106"/>
            <w:bookmarkEnd w:id="107"/>
            <w:r>
              <w:rPr>
                <w:rFonts w:hint="eastAsia" w:ascii="宋体" w:eastAsia="宋体" w:cs="宋体"/>
                <w:b w:val="0"/>
                <w:color w:val="auto"/>
                <w:sz w:val="24"/>
                <w:szCs w:val="24"/>
                <w:lang w:val="en-US" w:eastAsia="zh-CN"/>
              </w:rPr>
              <w:t>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2BDE">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sz w:val="24"/>
                <w:szCs w:val="24"/>
              </w:rPr>
            </w:pPr>
            <w:bookmarkStart w:id="108" w:name="_Toc11393"/>
            <w:r>
              <w:rPr>
                <w:rFonts w:hint="eastAsia" w:ascii="宋体" w:hAnsi="宋体" w:eastAsia="宋体" w:cs="宋体"/>
                <w:b w:val="0"/>
                <w:color w:val="auto"/>
                <w:sz w:val="24"/>
                <w:szCs w:val="24"/>
              </w:rPr>
              <w:t>是否接受联合体投标</w:t>
            </w:r>
            <w:bookmarkEnd w:id="108"/>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D5F9">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sz w:val="24"/>
                <w:szCs w:val="24"/>
              </w:rPr>
            </w:pPr>
            <w:bookmarkStart w:id="109" w:name="_Toc16710"/>
            <w:r>
              <w:rPr>
                <w:rFonts w:hint="eastAsia" w:ascii="宋体" w:hAnsi="宋体" w:eastAsia="宋体" w:cs="宋体"/>
                <w:b w:val="0"/>
                <w:color w:val="auto"/>
                <w:sz w:val="24"/>
                <w:szCs w:val="24"/>
              </w:rPr>
              <w:t>不接受</w:t>
            </w:r>
            <w:bookmarkEnd w:id="109"/>
          </w:p>
        </w:tc>
      </w:tr>
      <w:tr w14:paraId="59443065">
        <w:tblPrEx>
          <w:tblCellMar>
            <w:top w:w="0" w:type="dxa"/>
            <w:left w:w="0" w:type="dxa"/>
            <w:bottom w:w="0" w:type="dxa"/>
            <w:right w:w="0" w:type="dxa"/>
          </w:tblCellMar>
        </w:tblPrEx>
        <w:trPr>
          <w:trHeight w:val="801" w:hRule="exac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58D3">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eastAsia="zh-CN"/>
              </w:rPr>
            </w:pPr>
            <w:bookmarkStart w:id="110" w:name="_Toc25126"/>
            <w:bookmarkStart w:id="111" w:name="_Toc20571"/>
            <w:r>
              <w:rPr>
                <w:rFonts w:hint="eastAsia" w:ascii="宋体" w:hAnsi="宋体" w:eastAsia="宋体" w:cs="宋体"/>
                <w:b w:val="0"/>
                <w:color w:val="auto"/>
                <w:sz w:val="24"/>
                <w:szCs w:val="24"/>
              </w:rPr>
              <w:t>1</w:t>
            </w:r>
            <w:bookmarkEnd w:id="110"/>
            <w:bookmarkEnd w:id="111"/>
            <w:r>
              <w:rPr>
                <w:rFonts w:hint="eastAsia" w:ascii="宋体" w:eastAsia="宋体" w:cs="宋体"/>
                <w:b w:val="0"/>
                <w:color w:val="auto"/>
                <w:sz w:val="24"/>
                <w:szCs w:val="24"/>
                <w:lang w:val="en-US" w:eastAsia="zh-CN"/>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1184">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112" w:name="_Toc32544"/>
            <w:r>
              <w:rPr>
                <w:rFonts w:hint="eastAsia" w:ascii="宋体" w:hAnsi="宋体" w:eastAsia="宋体" w:cs="宋体"/>
                <w:b w:val="0"/>
                <w:color w:val="auto"/>
                <w:sz w:val="24"/>
                <w:szCs w:val="24"/>
              </w:rPr>
              <w:t>踏勘现场</w:t>
            </w:r>
            <w:bookmarkEnd w:id="112"/>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4EC7">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sz w:val="24"/>
                <w:szCs w:val="24"/>
              </w:rPr>
            </w:pPr>
            <w:bookmarkStart w:id="113" w:name="_Toc8346"/>
            <w:r>
              <w:rPr>
                <w:rFonts w:hint="eastAsia" w:ascii="宋体" w:hAnsi="宋体" w:eastAsia="宋体" w:cs="宋体"/>
                <w:b w:val="0"/>
                <w:bCs/>
                <w:color w:val="auto"/>
                <w:sz w:val="24"/>
                <w:szCs w:val="24"/>
              </w:rPr>
              <w:t>由供应商自行考察现场，如未勘察现场或勘察不仔细造成成交后无法履约，由成交供应商负责.</w:t>
            </w:r>
            <w:bookmarkEnd w:id="113"/>
          </w:p>
        </w:tc>
      </w:tr>
      <w:tr w14:paraId="1796956C">
        <w:tblPrEx>
          <w:tblCellMar>
            <w:top w:w="0" w:type="dxa"/>
            <w:left w:w="0" w:type="dxa"/>
            <w:bottom w:w="0" w:type="dxa"/>
            <w:right w:w="0" w:type="dxa"/>
          </w:tblCellMar>
        </w:tblPrEx>
        <w:trPr>
          <w:trHeight w:val="527" w:hRule="exac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E7D9">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eastAsia="zh-CN"/>
              </w:rPr>
            </w:pPr>
            <w:bookmarkStart w:id="114" w:name="_Toc28036"/>
            <w:bookmarkStart w:id="115" w:name="_Toc23465"/>
            <w:r>
              <w:rPr>
                <w:rFonts w:hint="eastAsia" w:ascii="宋体" w:hAnsi="宋体" w:eastAsia="宋体" w:cs="宋体"/>
                <w:b w:val="0"/>
                <w:color w:val="auto"/>
                <w:sz w:val="24"/>
                <w:szCs w:val="24"/>
              </w:rPr>
              <w:t>1</w:t>
            </w:r>
            <w:bookmarkEnd w:id="114"/>
            <w:bookmarkEnd w:id="115"/>
            <w:r>
              <w:rPr>
                <w:rFonts w:hint="eastAsia" w:ascii="宋体" w:eastAsia="宋体" w:cs="宋体"/>
                <w:b w:val="0"/>
                <w:color w:val="auto"/>
                <w:sz w:val="24"/>
                <w:szCs w:val="24"/>
                <w:lang w:val="en-US" w:eastAsia="zh-CN"/>
              </w:rPr>
              <w:t>3</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6E07">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116" w:name="_Toc29045"/>
            <w:r>
              <w:rPr>
                <w:rFonts w:hint="eastAsia" w:ascii="宋体" w:hAnsi="宋体" w:eastAsia="宋体" w:cs="宋体"/>
                <w:b w:val="0"/>
                <w:color w:val="auto"/>
                <w:sz w:val="24"/>
                <w:szCs w:val="24"/>
              </w:rPr>
              <w:t>投标预备会</w:t>
            </w:r>
            <w:bookmarkEnd w:id="116"/>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55E3">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sz w:val="24"/>
                <w:szCs w:val="24"/>
              </w:rPr>
            </w:pPr>
            <w:bookmarkStart w:id="117" w:name="_Toc11268"/>
            <w:r>
              <w:rPr>
                <w:rFonts w:hint="eastAsia" w:ascii="宋体" w:hAnsi="宋体" w:eastAsia="宋体" w:cs="宋体"/>
                <w:b w:val="0"/>
                <w:color w:val="auto"/>
                <w:sz w:val="24"/>
                <w:szCs w:val="24"/>
              </w:rPr>
              <w:t>不召开</w:t>
            </w:r>
            <w:bookmarkEnd w:id="117"/>
          </w:p>
        </w:tc>
      </w:tr>
      <w:tr w14:paraId="2F7FD26D">
        <w:tblPrEx>
          <w:tblCellMar>
            <w:top w:w="0" w:type="dxa"/>
            <w:left w:w="0" w:type="dxa"/>
            <w:bottom w:w="0" w:type="dxa"/>
            <w:right w:w="0" w:type="dxa"/>
          </w:tblCellMar>
        </w:tblPrEx>
        <w:trPr>
          <w:trHeight w:val="911" w:hRule="exac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8DC4">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eastAsia="zh-CN"/>
              </w:rPr>
            </w:pPr>
            <w:bookmarkStart w:id="118" w:name="_Toc21982"/>
            <w:bookmarkStart w:id="119" w:name="_Toc23304"/>
            <w:r>
              <w:rPr>
                <w:rFonts w:hint="eastAsia" w:ascii="宋体" w:hAnsi="宋体" w:eastAsia="宋体" w:cs="宋体"/>
                <w:b w:val="0"/>
                <w:color w:val="auto"/>
                <w:sz w:val="24"/>
                <w:szCs w:val="24"/>
              </w:rPr>
              <w:t>1</w:t>
            </w:r>
            <w:bookmarkEnd w:id="118"/>
            <w:bookmarkEnd w:id="119"/>
            <w:r>
              <w:rPr>
                <w:rFonts w:hint="eastAsia" w:ascii="宋体" w:eastAsia="宋体" w:cs="宋体"/>
                <w:b w:val="0"/>
                <w:color w:val="auto"/>
                <w:sz w:val="24"/>
                <w:szCs w:val="24"/>
                <w:lang w:val="en-US" w:eastAsia="zh-CN"/>
              </w:rPr>
              <w:t>4</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2785">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120" w:name="_Toc1456"/>
            <w:r>
              <w:rPr>
                <w:rFonts w:hint="eastAsia" w:ascii="宋体" w:hAnsi="宋体" w:eastAsia="宋体" w:cs="宋体"/>
                <w:b w:val="0"/>
                <w:color w:val="auto"/>
                <w:sz w:val="24"/>
                <w:szCs w:val="24"/>
              </w:rPr>
              <w:t>供应商提出问题的截止时间</w:t>
            </w:r>
            <w:bookmarkEnd w:id="120"/>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62E6">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sz w:val="24"/>
                <w:szCs w:val="24"/>
              </w:rPr>
            </w:pPr>
            <w:bookmarkStart w:id="121" w:name="_Toc75"/>
            <w:r>
              <w:rPr>
                <w:rFonts w:hint="eastAsia" w:ascii="宋体" w:hAnsi="宋体" w:eastAsia="宋体" w:cs="宋体"/>
                <w:b w:val="0"/>
                <w:color w:val="auto"/>
                <w:sz w:val="24"/>
                <w:szCs w:val="24"/>
              </w:rPr>
              <w:t>投标截止时间 5日前 12时（逾期不予受理）</w:t>
            </w:r>
            <w:bookmarkEnd w:id="121"/>
          </w:p>
        </w:tc>
      </w:tr>
      <w:tr w14:paraId="674C9BD4">
        <w:tblPrEx>
          <w:tblCellMar>
            <w:top w:w="0" w:type="dxa"/>
            <w:left w:w="0" w:type="dxa"/>
            <w:bottom w:w="0" w:type="dxa"/>
            <w:right w:w="0" w:type="dxa"/>
          </w:tblCellMar>
        </w:tblPrEx>
        <w:trPr>
          <w:trHeight w:val="816" w:hRule="exact"/>
        </w:trPr>
        <w:tc>
          <w:tcPr>
            <w:tcW w:w="625" w:type="dxa"/>
            <w:tcBorders>
              <w:top w:val="single" w:color="000000" w:sz="4" w:space="0"/>
              <w:left w:val="single" w:color="000000" w:sz="4" w:space="0"/>
              <w:bottom w:val="single" w:color="auto" w:sz="4" w:space="0"/>
              <w:right w:val="single" w:color="000000" w:sz="4" w:space="0"/>
            </w:tcBorders>
            <w:shd w:val="clear" w:color="auto" w:fill="auto"/>
            <w:vAlign w:val="center"/>
          </w:tcPr>
          <w:p w14:paraId="56CD234F">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eastAsia="zh-CN"/>
              </w:rPr>
            </w:pPr>
            <w:bookmarkStart w:id="122" w:name="_Toc19219"/>
            <w:bookmarkStart w:id="123" w:name="_Toc31663"/>
            <w:r>
              <w:rPr>
                <w:rFonts w:hint="eastAsia" w:ascii="宋体" w:hAnsi="宋体" w:eastAsia="宋体" w:cs="宋体"/>
                <w:b w:val="0"/>
                <w:color w:val="auto"/>
                <w:sz w:val="24"/>
                <w:szCs w:val="24"/>
              </w:rPr>
              <w:t>1</w:t>
            </w:r>
            <w:bookmarkEnd w:id="122"/>
            <w:bookmarkEnd w:id="123"/>
            <w:r>
              <w:rPr>
                <w:rFonts w:hint="eastAsia" w:ascii="宋体" w:eastAsia="宋体" w:cs="宋体"/>
                <w:b w:val="0"/>
                <w:color w:val="auto"/>
                <w:sz w:val="24"/>
                <w:szCs w:val="24"/>
                <w:lang w:val="en-US" w:eastAsia="zh-CN"/>
              </w:rPr>
              <w:t>5</w:t>
            </w:r>
          </w:p>
        </w:tc>
        <w:tc>
          <w:tcPr>
            <w:tcW w:w="1930" w:type="dxa"/>
            <w:tcBorders>
              <w:top w:val="single" w:color="000000" w:sz="4" w:space="0"/>
              <w:left w:val="single" w:color="000000" w:sz="4" w:space="0"/>
              <w:bottom w:val="single" w:color="auto" w:sz="4" w:space="0"/>
              <w:right w:val="single" w:color="000000" w:sz="4" w:space="0"/>
            </w:tcBorders>
            <w:shd w:val="clear" w:color="auto" w:fill="auto"/>
            <w:vAlign w:val="center"/>
          </w:tcPr>
          <w:p w14:paraId="509C3648">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kern w:val="2"/>
                <w:sz w:val="24"/>
                <w:szCs w:val="24"/>
              </w:rPr>
            </w:pPr>
            <w:bookmarkStart w:id="124" w:name="_Toc27540"/>
            <w:r>
              <w:rPr>
                <w:rFonts w:hint="eastAsia" w:ascii="宋体" w:hAnsi="宋体" w:eastAsia="宋体" w:cs="宋体"/>
                <w:b w:val="0"/>
                <w:color w:val="auto"/>
                <w:kern w:val="2"/>
                <w:sz w:val="24"/>
                <w:szCs w:val="24"/>
              </w:rPr>
              <w:t>供应商提出问题的方式</w:t>
            </w:r>
            <w:bookmarkEnd w:id="124"/>
          </w:p>
        </w:tc>
        <w:tc>
          <w:tcPr>
            <w:tcW w:w="7665" w:type="dxa"/>
            <w:tcBorders>
              <w:top w:val="single" w:color="000000" w:sz="4" w:space="0"/>
              <w:left w:val="single" w:color="000000" w:sz="4" w:space="0"/>
              <w:bottom w:val="single" w:color="auto" w:sz="4" w:space="0"/>
              <w:right w:val="single" w:color="000000" w:sz="4" w:space="0"/>
            </w:tcBorders>
            <w:shd w:val="clear" w:color="auto" w:fill="auto"/>
            <w:vAlign w:val="center"/>
          </w:tcPr>
          <w:p w14:paraId="373C87A1">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kern w:val="2"/>
                <w:sz w:val="24"/>
                <w:szCs w:val="24"/>
                <w:lang w:eastAsia="zh-CN"/>
              </w:rPr>
            </w:pPr>
            <w:r>
              <w:rPr>
                <w:rFonts w:hint="eastAsia" w:ascii="宋体" w:eastAsia="宋体" w:cs="宋体"/>
                <w:b w:val="0"/>
                <w:color w:val="auto"/>
                <w:kern w:val="2"/>
                <w:sz w:val="24"/>
                <w:szCs w:val="24"/>
                <w:lang w:eastAsia="zh-CN"/>
              </w:rPr>
              <w:t>电话或书面方式</w:t>
            </w:r>
          </w:p>
        </w:tc>
      </w:tr>
      <w:tr w14:paraId="694F48DE">
        <w:tblPrEx>
          <w:tblCellMar>
            <w:top w:w="0" w:type="dxa"/>
            <w:left w:w="0" w:type="dxa"/>
            <w:bottom w:w="0" w:type="dxa"/>
            <w:right w:w="0" w:type="dxa"/>
          </w:tblCellMar>
        </w:tblPrEx>
        <w:trPr>
          <w:trHeight w:val="565" w:hRule="exact"/>
        </w:trPr>
        <w:tc>
          <w:tcPr>
            <w:tcW w:w="625" w:type="dxa"/>
            <w:tcBorders>
              <w:top w:val="single" w:color="000000" w:sz="4" w:space="0"/>
              <w:left w:val="single" w:color="000000" w:sz="4" w:space="0"/>
              <w:bottom w:val="single" w:color="auto" w:sz="4" w:space="0"/>
              <w:right w:val="single" w:color="000000" w:sz="4" w:space="0"/>
            </w:tcBorders>
            <w:shd w:val="clear" w:color="auto" w:fill="auto"/>
            <w:vAlign w:val="center"/>
          </w:tcPr>
          <w:p w14:paraId="20DC52DE">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1</w:t>
            </w:r>
            <w:r>
              <w:rPr>
                <w:rFonts w:hint="eastAsia" w:ascii="宋体" w:eastAsia="宋体" w:cs="宋体"/>
                <w:b w:val="0"/>
                <w:color w:val="auto"/>
                <w:sz w:val="24"/>
                <w:szCs w:val="24"/>
                <w:lang w:val="en-US" w:eastAsia="zh-CN"/>
              </w:rPr>
              <w:t>6</w:t>
            </w:r>
          </w:p>
        </w:tc>
        <w:tc>
          <w:tcPr>
            <w:tcW w:w="1930" w:type="dxa"/>
            <w:tcBorders>
              <w:top w:val="single" w:color="000000" w:sz="4" w:space="0"/>
              <w:left w:val="single" w:color="000000" w:sz="4" w:space="0"/>
              <w:bottom w:val="single" w:color="auto" w:sz="4" w:space="0"/>
              <w:right w:val="single" w:color="000000" w:sz="4" w:space="0"/>
            </w:tcBorders>
            <w:shd w:val="clear" w:color="auto" w:fill="auto"/>
            <w:vAlign w:val="center"/>
          </w:tcPr>
          <w:p w14:paraId="73692BBB">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sz w:val="24"/>
                <w:szCs w:val="24"/>
              </w:rPr>
              <w:t>投标有效期</w:t>
            </w:r>
          </w:p>
        </w:tc>
        <w:tc>
          <w:tcPr>
            <w:tcW w:w="7665" w:type="dxa"/>
            <w:tcBorders>
              <w:top w:val="single" w:color="000000" w:sz="4" w:space="0"/>
              <w:left w:val="single" w:color="000000" w:sz="4" w:space="0"/>
              <w:bottom w:val="single" w:color="auto" w:sz="4" w:space="0"/>
              <w:right w:val="single" w:color="000000" w:sz="4" w:space="0"/>
            </w:tcBorders>
            <w:shd w:val="clear" w:color="auto" w:fill="auto"/>
            <w:vAlign w:val="center"/>
          </w:tcPr>
          <w:p w14:paraId="3E10C5A5">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b w:val="0"/>
                <w:color w:val="auto"/>
                <w:sz w:val="24"/>
                <w:szCs w:val="24"/>
              </w:rPr>
              <w:t>从投标截止之日起90日历天</w:t>
            </w:r>
          </w:p>
          <w:p w14:paraId="7E5A7469">
            <w:pPr>
              <w:keepNext w:val="0"/>
              <w:keepLines w:val="0"/>
              <w:pageBreakBefore w:val="0"/>
              <w:kinsoku/>
              <w:wordWrap/>
              <w:overflowPunct/>
              <w:topLinePunct w:val="0"/>
              <w:bidi w:val="0"/>
              <w:spacing w:line="360" w:lineRule="exact"/>
              <w:textAlignment w:val="auto"/>
              <w:rPr>
                <w:rFonts w:hint="eastAsia" w:ascii="宋体" w:hAnsi="宋体" w:eastAsia="宋体" w:cs="宋体"/>
                <w:b w:val="0"/>
                <w:color w:val="auto"/>
                <w:kern w:val="2"/>
                <w:sz w:val="24"/>
                <w:szCs w:val="24"/>
              </w:rPr>
            </w:pPr>
          </w:p>
        </w:tc>
      </w:tr>
      <w:tr w14:paraId="6BD4CCB6">
        <w:tblPrEx>
          <w:tblCellMar>
            <w:top w:w="0" w:type="dxa"/>
            <w:left w:w="0" w:type="dxa"/>
            <w:bottom w:w="0" w:type="dxa"/>
            <w:right w:w="0" w:type="dxa"/>
          </w:tblCellMar>
        </w:tblPrEx>
        <w:trPr>
          <w:trHeight w:val="520" w:hRule="exact"/>
        </w:trPr>
        <w:tc>
          <w:tcPr>
            <w:tcW w:w="625" w:type="dxa"/>
            <w:tcBorders>
              <w:top w:val="single" w:color="000000" w:sz="4" w:space="0"/>
              <w:left w:val="single" w:color="000000" w:sz="4" w:space="0"/>
              <w:bottom w:val="single" w:color="auto" w:sz="4" w:space="0"/>
              <w:right w:val="single" w:color="000000" w:sz="4" w:space="0"/>
            </w:tcBorders>
            <w:shd w:val="clear" w:color="auto" w:fill="auto"/>
            <w:vAlign w:val="center"/>
          </w:tcPr>
          <w:p w14:paraId="315682B8">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1</w:t>
            </w:r>
            <w:r>
              <w:rPr>
                <w:rFonts w:hint="eastAsia" w:ascii="宋体" w:eastAsia="宋体" w:cs="宋体"/>
                <w:b w:val="0"/>
                <w:color w:val="auto"/>
                <w:sz w:val="24"/>
                <w:szCs w:val="24"/>
                <w:lang w:val="en-US" w:eastAsia="zh-CN"/>
              </w:rPr>
              <w:t>7</w:t>
            </w:r>
          </w:p>
        </w:tc>
        <w:tc>
          <w:tcPr>
            <w:tcW w:w="1930" w:type="dxa"/>
            <w:tcBorders>
              <w:top w:val="single" w:color="000000" w:sz="4" w:space="0"/>
              <w:left w:val="single" w:color="000000" w:sz="4" w:space="0"/>
              <w:bottom w:val="single" w:color="auto" w:sz="4" w:space="0"/>
              <w:right w:val="single" w:color="000000" w:sz="4" w:space="0"/>
            </w:tcBorders>
            <w:shd w:val="clear" w:color="auto" w:fill="auto"/>
            <w:vAlign w:val="center"/>
          </w:tcPr>
          <w:p w14:paraId="03A4F5C5">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sz w:val="24"/>
                <w:szCs w:val="24"/>
              </w:rPr>
              <w:t>投标保证金</w:t>
            </w:r>
          </w:p>
        </w:tc>
        <w:tc>
          <w:tcPr>
            <w:tcW w:w="7665" w:type="dxa"/>
            <w:tcBorders>
              <w:top w:val="single" w:color="000000" w:sz="4" w:space="0"/>
              <w:left w:val="single" w:color="000000" w:sz="4" w:space="0"/>
              <w:bottom w:val="single" w:color="auto" w:sz="4" w:space="0"/>
              <w:right w:val="single" w:color="000000" w:sz="4" w:space="0"/>
            </w:tcBorders>
            <w:shd w:val="clear" w:color="auto" w:fill="auto"/>
            <w:vAlign w:val="center"/>
          </w:tcPr>
          <w:p w14:paraId="491504FB">
            <w:pPr>
              <w:keepNext w:val="0"/>
              <w:keepLines w:val="0"/>
              <w:pageBreakBefore w:val="0"/>
              <w:kinsoku/>
              <w:wordWrap/>
              <w:overflowPunct/>
              <w:topLinePunct w:val="0"/>
              <w:bidi w:val="0"/>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本项目免收投标保证金</w:t>
            </w:r>
          </w:p>
          <w:p w14:paraId="16E26BD6">
            <w:pPr>
              <w:keepNext w:val="0"/>
              <w:keepLines w:val="0"/>
              <w:pageBreakBefore w:val="0"/>
              <w:kinsoku/>
              <w:wordWrap/>
              <w:overflowPunct/>
              <w:topLinePunct w:val="0"/>
              <w:bidi w:val="0"/>
              <w:spacing w:line="360" w:lineRule="exact"/>
              <w:ind w:right="49" w:rightChars="0"/>
              <w:textAlignment w:val="auto"/>
              <w:rPr>
                <w:rFonts w:hint="eastAsia" w:ascii="宋体" w:hAnsi="宋体" w:eastAsia="宋体" w:cs="宋体"/>
                <w:b w:val="0"/>
                <w:color w:val="auto"/>
                <w:kern w:val="2"/>
                <w:sz w:val="24"/>
                <w:szCs w:val="24"/>
              </w:rPr>
            </w:pPr>
          </w:p>
        </w:tc>
      </w:tr>
      <w:tr w14:paraId="5547FD2D">
        <w:tblPrEx>
          <w:tblCellMar>
            <w:top w:w="0" w:type="dxa"/>
            <w:left w:w="0" w:type="dxa"/>
            <w:bottom w:w="0" w:type="dxa"/>
            <w:right w:w="0" w:type="dxa"/>
          </w:tblCellMar>
        </w:tblPrEx>
        <w:trPr>
          <w:trHeight w:val="520" w:hRule="exact"/>
        </w:trPr>
        <w:tc>
          <w:tcPr>
            <w:tcW w:w="625" w:type="dxa"/>
            <w:tcBorders>
              <w:top w:val="single" w:color="000000" w:sz="4" w:space="0"/>
              <w:left w:val="single" w:color="000000" w:sz="4" w:space="0"/>
              <w:bottom w:val="single" w:color="auto" w:sz="4" w:space="0"/>
              <w:right w:val="single" w:color="000000" w:sz="4" w:space="0"/>
            </w:tcBorders>
            <w:shd w:val="clear" w:color="auto" w:fill="auto"/>
            <w:vAlign w:val="center"/>
          </w:tcPr>
          <w:p w14:paraId="72EFEA4E">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1</w:t>
            </w:r>
            <w:r>
              <w:rPr>
                <w:rFonts w:hint="eastAsia" w:ascii="宋体" w:eastAsia="宋体" w:cs="宋体"/>
                <w:b w:val="0"/>
                <w:color w:val="auto"/>
                <w:sz w:val="24"/>
                <w:szCs w:val="24"/>
                <w:lang w:val="en-US" w:eastAsia="zh-CN"/>
              </w:rPr>
              <w:t>8</w:t>
            </w:r>
          </w:p>
        </w:tc>
        <w:tc>
          <w:tcPr>
            <w:tcW w:w="1930" w:type="dxa"/>
            <w:tcBorders>
              <w:top w:val="single" w:color="000000" w:sz="4" w:space="0"/>
              <w:left w:val="single" w:color="000000" w:sz="4" w:space="0"/>
              <w:bottom w:val="single" w:color="auto" w:sz="4" w:space="0"/>
              <w:right w:val="single" w:color="000000" w:sz="4" w:space="0"/>
            </w:tcBorders>
            <w:shd w:val="clear" w:color="auto" w:fill="auto"/>
            <w:vAlign w:val="center"/>
          </w:tcPr>
          <w:p w14:paraId="13759F65">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资格审查方式</w:t>
            </w:r>
          </w:p>
        </w:tc>
        <w:tc>
          <w:tcPr>
            <w:tcW w:w="7665" w:type="dxa"/>
            <w:tcBorders>
              <w:top w:val="single" w:color="000000" w:sz="4" w:space="0"/>
              <w:left w:val="single" w:color="000000" w:sz="4" w:space="0"/>
              <w:bottom w:val="single" w:color="auto" w:sz="4" w:space="0"/>
              <w:right w:val="single" w:color="000000" w:sz="4" w:space="0"/>
            </w:tcBorders>
            <w:shd w:val="clear" w:color="auto" w:fill="auto"/>
            <w:vAlign w:val="center"/>
          </w:tcPr>
          <w:p w14:paraId="46F3E64D">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sz w:val="24"/>
                <w:szCs w:val="24"/>
              </w:rPr>
              <w:t>资格后审</w:t>
            </w:r>
          </w:p>
        </w:tc>
      </w:tr>
      <w:tr w14:paraId="6808233C">
        <w:tblPrEx>
          <w:tblCellMar>
            <w:top w:w="0" w:type="dxa"/>
            <w:left w:w="0" w:type="dxa"/>
            <w:bottom w:w="0" w:type="dxa"/>
            <w:right w:w="0" w:type="dxa"/>
          </w:tblCellMar>
        </w:tblPrEx>
        <w:trPr>
          <w:trHeight w:val="3015" w:hRule="exact"/>
        </w:trPr>
        <w:tc>
          <w:tcPr>
            <w:tcW w:w="625" w:type="dxa"/>
            <w:tcBorders>
              <w:top w:val="single" w:color="000000" w:sz="4" w:space="0"/>
              <w:left w:val="single" w:color="000000" w:sz="4" w:space="0"/>
              <w:bottom w:val="single" w:color="auto" w:sz="4" w:space="0"/>
              <w:right w:val="single" w:color="000000" w:sz="4" w:space="0"/>
            </w:tcBorders>
            <w:shd w:val="clear" w:color="auto" w:fill="auto"/>
            <w:vAlign w:val="center"/>
          </w:tcPr>
          <w:p w14:paraId="41B0699A">
            <w:pPr>
              <w:pStyle w:val="8"/>
              <w:keepNext w:val="0"/>
              <w:keepLines w:val="0"/>
              <w:pageBreakBefore w:val="0"/>
              <w:widowControl/>
              <w:kinsoku/>
              <w:wordWrap/>
              <w:overflowPunct/>
              <w:topLinePunct w:val="0"/>
              <w:bidi w:val="0"/>
              <w:spacing w:line="360" w:lineRule="exact"/>
              <w:jc w:val="center"/>
              <w:textAlignment w:val="auto"/>
              <w:rPr>
                <w:rFonts w:hint="default" w:ascii="宋体" w:hAnsi="宋体" w:eastAsia="宋体" w:cs="宋体"/>
                <w:b w:val="0"/>
                <w:color w:val="auto"/>
                <w:sz w:val="24"/>
                <w:szCs w:val="24"/>
                <w:lang w:val="en-US" w:eastAsia="zh-CN"/>
              </w:rPr>
            </w:pPr>
            <w:r>
              <w:rPr>
                <w:rFonts w:hint="eastAsia" w:ascii="宋体" w:eastAsia="宋体" w:cs="宋体"/>
                <w:b w:val="0"/>
                <w:color w:val="auto"/>
                <w:sz w:val="24"/>
                <w:szCs w:val="24"/>
                <w:lang w:val="en-US" w:eastAsia="zh-CN"/>
              </w:rPr>
              <w:t>19</w:t>
            </w:r>
          </w:p>
        </w:tc>
        <w:tc>
          <w:tcPr>
            <w:tcW w:w="1930" w:type="dxa"/>
            <w:tcBorders>
              <w:top w:val="single" w:color="000000" w:sz="4" w:space="0"/>
              <w:left w:val="single" w:color="000000" w:sz="4" w:space="0"/>
              <w:bottom w:val="single" w:color="auto" w:sz="4" w:space="0"/>
              <w:right w:val="single" w:color="000000" w:sz="4" w:space="0"/>
            </w:tcBorders>
            <w:shd w:val="clear" w:color="auto" w:fill="auto"/>
            <w:vAlign w:val="center"/>
          </w:tcPr>
          <w:p w14:paraId="613B4D4D">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投诉质疑和形式</w:t>
            </w:r>
          </w:p>
        </w:tc>
        <w:tc>
          <w:tcPr>
            <w:tcW w:w="7665" w:type="dxa"/>
            <w:tcBorders>
              <w:top w:val="single" w:color="000000" w:sz="4" w:space="0"/>
              <w:left w:val="single" w:color="000000" w:sz="4" w:space="0"/>
              <w:bottom w:val="single" w:color="auto" w:sz="4" w:space="0"/>
              <w:right w:val="single" w:color="000000" w:sz="4" w:space="0"/>
            </w:tcBorders>
            <w:shd w:val="clear" w:color="auto" w:fill="auto"/>
            <w:vAlign w:val="center"/>
          </w:tcPr>
          <w:p w14:paraId="5C8AFEF0">
            <w:pPr>
              <w:keepNext w:val="0"/>
              <w:keepLines w:val="0"/>
              <w:pageBreakBefore w:val="0"/>
              <w:widowControl/>
              <w:kinsoku/>
              <w:wordWrap/>
              <w:overflowPunct/>
              <w:topLinePunct w:val="0"/>
              <w:bidi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认为采购文件、采购过程、中标或者成交结果使自己的权益受到损害的，可以在知道或者应知其权益受到损害之日法定质疑期内一次性提出针对同一采购程序环节的质疑。投诉，一次性提出质疑，不接受二次质疑。投标人（供应商）有异议（质疑）的可依法提出，招标人、招标代理机构依法作出答复。对异议（质疑）不满意的投标人（供应商）可依法向监管部门提交投诉，监管部门可依法受理投诉并作出投诉处理决定。</w:t>
            </w:r>
            <w:r>
              <w:rPr>
                <w:rFonts w:hint="eastAsia" w:ascii="宋体" w:hAnsi="宋体" w:eastAsia="宋体" w:cs="宋体"/>
                <w:color w:val="auto"/>
                <w:sz w:val="24"/>
                <w:szCs w:val="24"/>
                <w:lang w:eastAsia="zh-CN"/>
              </w:rPr>
              <w:t>如</w:t>
            </w:r>
            <w:r>
              <w:rPr>
                <w:rFonts w:hint="eastAsia" w:ascii="宋体" w:hAnsi="宋体" w:eastAsia="宋体" w:cs="宋体"/>
                <w:color w:val="auto"/>
                <w:sz w:val="24"/>
                <w:szCs w:val="24"/>
              </w:rPr>
              <w:t>虚假、恶意质疑，被质疑人应当驳回质疑，并向同级政府采购监督管理部门报告，将其列入不良行为记录名单，并依法予以处罚：</w:t>
            </w:r>
          </w:p>
        </w:tc>
      </w:tr>
      <w:tr w14:paraId="7C420676">
        <w:tblPrEx>
          <w:tblCellMar>
            <w:top w:w="0" w:type="dxa"/>
            <w:left w:w="0" w:type="dxa"/>
            <w:bottom w:w="0" w:type="dxa"/>
            <w:right w:w="0" w:type="dxa"/>
          </w:tblCellMar>
        </w:tblPrEx>
        <w:trPr>
          <w:trHeight w:val="2177" w:hRule="exact"/>
        </w:trPr>
        <w:tc>
          <w:tcPr>
            <w:tcW w:w="625" w:type="dxa"/>
            <w:tcBorders>
              <w:top w:val="single" w:color="auto" w:sz="4" w:space="0"/>
              <w:left w:val="single" w:color="auto" w:sz="4" w:space="0"/>
              <w:bottom w:val="single" w:color="auto" w:sz="4" w:space="0"/>
              <w:right w:val="single" w:color="000000" w:sz="4" w:space="0"/>
            </w:tcBorders>
            <w:shd w:val="clear" w:color="auto" w:fill="auto"/>
            <w:vAlign w:val="center"/>
          </w:tcPr>
          <w:p w14:paraId="357D42B8">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2</w:t>
            </w:r>
            <w:r>
              <w:rPr>
                <w:rFonts w:hint="eastAsia" w:ascii="宋体" w:eastAsia="宋体" w:cs="宋体"/>
                <w:b w:val="0"/>
                <w:color w:val="auto"/>
                <w:sz w:val="24"/>
                <w:szCs w:val="24"/>
                <w:lang w:val="en-US" w:eastAsia="zh-CN"/>
              </w:rPr>
              <w:t>0</w:t>
            </w:r>
          </w:p>
        </w:tc>
        <w:tc>
          <w:tcPr>
            <w:tcW w:w="1930" w:type="dxa"/>
            <w:tcBorders>
              <w:top w:val="single" w:color="auto" w:sz="4" w:space="0"/>
              <w:left w:val="single" w:color="000000" w:sz="4" w:space="0"/>
              <w:bottom w:val="single" w:color="auto" w:sz="4" w:space="0"/>
              <w:right w:val="single" w:color="000000" w:sz="4" w:space="0"/>
            </w:tcBorders>
            <w:shd w:val="clear" w:color="auto" w:fill="auto"/>
            <w:vAlign w:val="center"/>
          </w:tcPr>
          <w:p w14:paraId="0B716563">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p>
          <w:p w14:paraId="0F33EA7B">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125" w:name="_Toc25746"/>
            <w:r>
              <w:rPr>
                <w:rFonts w:hint="eastAsia" w:ascii="宋体" w:hAnsi="宋体" w:eastAsia="宋体" w:cs="宋体"/>
                <w:b w:val="0"/>
                <w:color w:val="auto"/>
                <w:sz w:val="24"/>
                <w:szCs w:val="24"/>
              </w:rPr>
              <w:t>疑问的答疑获取</w:t>
            </w:r>
            <w:bookmarkEnd w:id="125"/>
          </w:p>
        </w:tc>
        <w:tc>
          <w:tcPr>
            <w:tcW w:w="7665" w:type="dxa"/>
            <w:tcBorders>
              <w:top w:val="single" w:color="auto" w:sz="4" w:space="0"/>
              <w:left w:val="single" w:color="000000" w:sz="4" w:space="0"/>
              <w:bottom w:val="single" w:color="auto" w:sz="4" w:space="0"/>
              <w:right w:val="single" w:color="auto" w:sz="4" w:space="0"/>
            </w:tcBorders>
            <w:shd w:val="clear" w:color="auto" w:fill="auto"/>
            <w:vAlign w:val="center"/>
          </w:tcPr>
          <w:p w14:paraId="72974A61">
            <w:pPr>
              <w:pStyle w:val="8"/>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b w:val="0"/>
                <w:color w:val="auto"/>
                <w:sz w:val="24"/>
                <w:szCs w:val="24"/>
              </w:rPr>
            </w:pPr>
            <w:bookmarkStart w:id="126" w:name="_Toc12358"/>
            <w:r>
              <w:rPr>
                <w:rFonts w:hint="eastAsia" w:ascii="宋体" w:hAnsi="宋体" w:eastAsia="宋体" w:cs="宋体"/>
                <w:b w:val="0"/>
                <w:color w:val="auto"/>
                <w:sz w:val="24"/>
                <w:szCs w:val="24"/>
              </w:rPr>
              <w:t>疑问的答疑获取均在淮南市</w:t>
            </w:r>
            <w:r>
              <w:rPr>
                <w:rFonts w:hint="eastAsia" w:ascii="宋体" w:eastAsia="宋体" w:cs="宋体"/>
                <w:b w:val="0"/>
                <w:color w:val="auto"/>
                <w:sz w:val="24"/>
                <w:szCs w:val="24"/>
                <w:lang w:val="en-US" w:eastAsia="zh-CN"/>
              </w:rPr>
              <w:t>应急管理</w:t>
            </w:r>
            <w:r>
              <w:rPr>
                <w:rFonts w:hint="eastAsia" w:ascii="宋体" w:hAnsi="宋体" w:eastAsia="宋体" w:cs="宋体"/>
                <w:b w:val="0"/>
                <w:color w:val="auto"/>
                <w:sz w:val="24"/>
                <w:szCs w:val="24"/>
                <w:lang w:eastAsia="zh-CN"/>
              </w:rPr>
              <w:t>局网站（https://yjj.huainan.gov.cn/）</w:t>
            </w:r>
            <w:r>
              <w:rPr>
                <w:rFonts w:hint="eastAsia" w:ascii="宋体" w:hAnsi="宋体" w:eastAsia="宋体" w:cs="宋体"/>
                <w:b w:val="0"/>
                <w:color w:val="auto"/>
                <w:sz w:val="24"/>
                <w:szCs w:val="24"/>
              </w:rPr>
              <w:t>下载。供应商请注意：招标代理机构对采购文件进行的澄清、更正或更改，将在网站上及时发布，该公告内容为采购文件的组成部分，对供应商具有同样约束效力。供应商应主动上网查，招标代理机构不承担供应商未及时关注相关信息引发的相关责任。</w:t>
            </w:r>
            <w:bookmarkEnd w:id="126"/>
          </w:p>
        </w:tc>
      </w:tr>
      <w:tr w14:paraId="68E05756">
        <w:tblPrEx>
          <w:tblCellMar>
            <w:top w:w="0" w:type="dxa"/>
            <w:left w:w="0" w:type="dxa"/>
            <w:bottom w:w="0" w:type="dxa"/>
            <w:right w:w="0" w:type="dxa"/>
          </w:tblCellMar>
        </w:tblPrEx>
        <w:trPr>
          <w:trHeight w:val="524" w:hRule="exac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74C0">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val="en-US" w:eastAsia="zh-CN"/>
              </w:rPr>
            </w:pPr>
            <w:bookmarkStart w:id="127" w:name="_Toc6228"/>
            <w:r>
              <w:rPr>
                <w:rFonts w:hint="eastAsia" w:ascii="宋体" w:hAnsi="宋体" w:eastAsia="宋体" w:cs="宋体"/>
                <w:b w:val="0"/>
                <w:color w:val="auto"/>
                <w:sz w:val="24"/>
                <w:szCs w:val="24"/>
              </w:rPr>
              <w:t>2</w:t>
            </w:r>
            <w:bookmarkEnd w:id="127"/>
            <w:r>
              <w:rPr>
                <w:rFonts w:hint="eastAsia" w:ascii="宋体" w:eastAsia="宋体" w:cs="宋体"/>
                <w:b w:val="0"/>
                <w:color w:val="auto"/>
                <w:sz w:val="24"/>
                <w:szCs w:val="24"/>
                <w:lang w:val="en-US" w:eastAsia="zh-CN"/>
              </w:rPr>
              <w:t>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A16A">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128" w:name="_Toc2448"/>
            <w:r>
              <w:rPr>
                <w:rFonts w:hint="eastAsia" w:ascii="宋体" w:hAnsi="宋体" w:eastAsia="宋体" w:cs="宋体"/>
                <w:b w:val="0"/>
                <w:color w:val="auto"/>
                <w:sz w:val="24"/>
                <w:szCs w:val="24"/>
              </w:rPr>
              <w:t>投标有效期</w:t>
            </w:r>
            <w:bookmarkEnd w:id="128"/>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9907">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sz w:val="24"/>
                <w:szCs w:val="24"/>
              </w:rPr>
            </w:pPr>
            <w:bookmarkStart w:id="129" w:name="_Toc11602"/>
            <w:r>
              <w:rPr>
                <w:rFonts w:hint="eastAsia" w:ascii="宋体" w:hAnsi="宋体" w:eastAsia="宋体" w:cs="宋体"/>
                <w:b w:val="0"/>
                <w:color w:val="auto"/>
                <w:sz w:val="24"/>
                <w:szCs w:val="24"/>
              </w:rPr>
              <w:t>从投标截止之日起90日历天</w:t>
            </w:r>
            <w:bookmarkEnd w:id="129"/>
          </w:p>
          <w:p w14:paraId="6D0477D3">
            <w:pPr>
              <w:keepNext w:val="0"/>
              <w:keepLines w:val="0"/>
              <w:pageBreakBefore w:val="0"/>
              <w:kinsoku/>
              <w:wordWrap/>
              <w:overflowPunct/>
              <w:topLinePunct w:val="0"/>
              <w:bidi w:val="0"/>
              <w:spacing w:line="360" w:lineRule="exact"/>
              <w:textAlignment w:val="auto"/>
              <w:rPr>
                <w:rFonts w:hint="eastAsia" w:ascii="宋体" w:hAnsi="宋体" w:eastAsia="宋体" w:cs="宋体"/>
                <w:color w:val="auto"/>
                <w:sz w:val="24"/>
                <w:szCs w:val="24"/>
              </w:rPr>
            </w:pPr>
          </w:p>
          <w:p w14:paraId="7D3ECC2F">
            <w:pPr>
              <w:keepNext w:val="0"/>
              <w:keepLines w:val="0"/>
              <w:pageBreakBefore w:val="0"/>
              <w:kinsoku/>
              <w:wordWrap/>
              <w:overflowPunct/>
              <w:topLinePunct w:val="0"/>
              <w:bidi w:val="0"/>
              <w:spacing w:line="360" w:lineRule="exact"/>
              <w:textAlignment w:val="auto"/>
              <w:rPr>
                <w:rFonts w:hint="eastAsia" w:ascii="宋体" w:hAnsi="宋体" w:eastAsia="宋体" w:cs="宋体"/>
                <w:color w:val="auto"/>
                <w:sz w:val="24"/>
                <w:szCs w:val="24"/>
              </w:rPr>
            </w:pPr>
          </w:p>
        </w:tc>
      </w:tr>
      <w:tr w14:paraId="0BE57752">
        <w:tblPrEx>
          <w:tblCellMar>
            <w:top w:w="0" w:type="dxa"/>
            <w:left w:w="0" w:type="dxa"/>
            <w:bottom w:w="0" w:type="dxa"/>
            <w:right w:w="0" w:type="dxa"/>
          </w:tblCellMar>
        </w:tblPrEx>
        <w:trPr>
          <w:trHeight w:val="501" w:hRule="exac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E22A">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val="en-US" w:eastAsia="zh-CN"/>
              </w:rPr>
            </w:pPr>
            <w:bookmarkStart w:id="130" w:name="_Toc26684"/>
            <w:bookmarkStart w:id="131" w:name="_Toc15197"/>
            <w:bookmarkStart w:id="132" w:name="_Toc21940"/>
            <w:bookmarkStart w:id="133" w:name="_Toc23797"/>
            <w:r>
              <w:rPr>
                <w:rFonts w:hint="eastAsia" w:ascii="宋体" w:hAnsi="宋体" w:eastAsia="宋体" w:cs="宋体"/>
                <w:b w:val="0"/>
                <w:color w:val="auto"/>
                <w:sz w:val="24"/>
                <w:szCs w:val="24"/>
              </w:rPr>
              <w:t>2</w:t>
            </w:r>
            <w:bookmarkEnd w:id="130"/>
            <w:bookmarkEnd w:id="131"/>
            <w:bookmarkEnd w:id="132"/>
            <w:bookmarkEnd w:id="133"/>
            <w:r>
              <w:rPr>
                <w:rFonts w:hint="eastAsia" w:ascii="宋体" w:eastAsia="宋体" w:cs="宋体"/>
                <w:b w:val="0"/>
                <w:color w:val="auto"/>
                <w:sz w:val="24"/>
                <w:szCs w:val="24"/>
                <w:lang w:val="en-US" w:eastAsia="zh-CN"/>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FCE2">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134" w:name="_Toc25602"/>
            <w:r>
              <w:rPr>
                <w:rFonts w:hint="eastAsia" w:ascii="宋体" w:hAnsi="宋体" w:eastAsia="宋体" w:cs="宋体"/>
                <w:b w:val="0"/>
                <w:color w:val="auto"/>
                <w:sz w:val="24"/>
                <w:szCs w:val="24"/>
              </w:rPr>
              <w:t>投标保证金</w:t>
            </w:r>
            <w:bookmarkEnd w:id="134"/>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2CED">
            <w:pPr>
              <w:keepNext w:val="0"/>
              <w:keepLines w:val="0"/>
              <w:pageBreakBefore w:val="0"/>
              <w:kinsoku/>
              <w:wordWrap/>
              <w:overflowPunct/>
              <w:topLinePunct w:val="0"/>
              <w:bidi w:val="0"/>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本项目免收投标保证金</w:t>
            </w:r>
          </w:p>
          <w:p w14:paraId="395432A8">
            <w:pPr>
              <w:pStyle w:val="6"/>
              <w:keepNext w:val="0"/>
              <w:keepLines w:val="0"/>
              <w:pageBreakBefore w:val="0"/>
              <w:kinsoku/>
              <w:wordWrap/>
              <w:overflowPunct/>
              <w:topLinePunct w:val="0"/>
              <w:bidi w:val="0"/>
              <w:spacing w:line="360" w:lineRule="exact"/>
              <w:textAlignment w:val="auto"/>
              <w:rPr>
                <w:rFonts w:hint="eastAsia" w:ascii="宋体" w:hAnsi="宋体" w:eastAsia="宋体" w:cs="宋体"/>
                <w:color w:val="auto"/>
                <w:sz w:val="24"/>
                <w:szCs w:val="24"/>
              </w:rPr>
            </w:pPr>
          </w:p>
          <w:p w14:paraId="490D4C7A">
            <w:pPr>
              <w:pStyle w:val="6"/>
              <w:keepNext w:val="0"/>
              <w:keepLines w:val="0"/>
              <w:pageBreakBefore w:val="0"/>
              <w:kinsoku/>
              <w:wordWrap/>
              <w:overflowPunct/>
              <w:topLinePunct w:val="0"/>
              <w:bidi w:val="0"/>
              <w:spacing w:line="360" w:lineRule="exact"/>
              <w:textAlignment w:val="auto"/>
              <w:rPr>
                <w:rFonts w:hint="eastAsia" w:ascii="宋体" w:hAnsi="宋体" w:eastAsia="宋体" w:cs="宋体"/>
                <w:color w:val="auto"/>
                <w:sz w:val="24"/>
                <w:szCs w:val="24"/>
              </w:rPr>
            </w:pPr>
          </w:p>
          <w:p w14:paraId="30675BD5">
            <w:pPr>
              <w:keepNext w:val="0"/>
              <w:keepLines w:val="0"/>
              <w:pageBreakBefore w:val="0"/>
              <w:kinsoku/>
              <w:wordWrap/>
              <w:overflowPunct/>
              <w:topLinePunct w:val="0"/>
              <w:bidi w:val="0"/>
              <w:spacing w:line="360" w:lineRule="exact"/>
              <w:ind w:right="49"/>
              <w:textAlignment w:val="auto"/>
              <w:rPr>
                <w:rFonts w:hint="eastAsia" w:ascii="宋体" w:hAnsi="宋体" w:eastAsia="宋体" w:cs="宋体"/>
                <w:color w:val="auto"/>
                <w:sz w:val="24"/>
                <w:szCs w:val="24"/>
              </w:rPr>
            </w:pPr>
          </w:p>
        </w:tc>
      </w:tr>
      <w:tr w14:paraId="5CB631ED">
        <w:tblPrEx>
          <w:tblCellMar>
            <w:top w:w="0" w:type="dxa"/>
            <w:left w:w="0" w:type="dxa"/>
            <w:bottom w:w="0" w:type="dxa"/>
            <w:right w:w="0" w:type="dxa"/>
          </w:tblCellMar>
        </w:tblPrEx>
        <w:trPr>
          <w:trHeight w:val="736" w:hRule="exac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7A7F">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eastAsia="zh-CN"/>
              </w:rPr>
            </w:pPr>
            <w:bookmarkStart w:id="135" w:name="_Toc2734"/>
            <w:r>
              <w:rPr>
                <w:rFonts w:hint="eastAsia" w:ascii="宋体" w:hAnsi="宋体" w:eastAsia="宋体" w:cs="宋体"/>
                <w:b w:val="0"/>
                <w:color w:val="auto"/>
                <w:sz w:val="24"/>
                <w:szCs w:val="24"/>
              </w:rPr>
              <w:t>2</w:t>
            </w:r>
            <w:bookmarkEnd w:id="135"/>
            <w:r>
              <w:rPr>
                <w:rFonts w:hint="eastAsia" w:ascii="宋体" w:eastAsia="宋体" w:cs="宋体"/>
                <w:b w:val="0"/>
                <w:color w:val="auto"/>
                <w:sz w:val="24"/>
                <w:szCs w:val="24"/>
                <w:lang w:val="en-US" w:eastAsia="zh-CN"/>
              </w:rPr>
              <w:t>3</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090F">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136" w:name="_Toc28517"/>
            <w:bookmarkStart w:id="137" w:name="_Toc1503"/>
            <w:bookmarkStart w:id="138" w:name="_Toc29568"/>
            <w:bookmarkStart w:id="139" w:name="_Toc31907"/>
            <w:r>
              <w:rPr>
                <w:rFonts w:hint="eastAsia" w:ascii="宋体" w:hAnsi="宋体" w:eastAsia="宋体" w:cs="宋体"/>
                <w:b w:val="0"/>
                <w:color w:val="auto"/>
                <w:sz w:val="24"/>
                <w:szCs w:val="24"/>
              </w:rPr>
              <w:t>是否允许递交备选投标方案</w:t>
            </w:r>
            <w:bookmarkEnd w:id="136"/>
            <w:bookmarkEnd w:id="137"/>
            <w:bookmarkEnd w:id="138"/>
            <w:bookmarkEnd w:id="139"/>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93D7">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sz w:val="24"/>
                <w:szCs w:val="24"/>
              </w:rPr>
            </w:pPr>
            <w:bookmarkStart w:id="140" w:name="_Toc23771"/>
            <w:bookmarkStart w:id="141" w:name="_Toc12233"/>
            <w:bookmarkStart w:id="142" w:name="_Toc15139"/>
            <w:bookmarkStart w:id="143" w:name="_Toc9052"/>
            <w:r>
              <w:rPr>
                <w:rFonts w:hint="eastAsia" w:ascii="宋体" w:hAnsi="宋体" w:eastAsia="宋体" w:cs="宋体"/>
                <w:b w:val="0"/>
                <w:color w:val="auto"/>
                <w:sz w:val="24"/>
                <w:szCs w:val="24"/>
              </w:rPr>
              <w:t>不允许</w:t>
            </w:r>
            <w:bookmarkEnd w:id="140"/>
            <w:bookmarkEnd w:id="141"/>
            <w:bookmarkEnd w:id="142"/>
            <w:bookmarkEnd w:id="143"/>
          </w:p>
        </w:tc>
      </w:tr>
      <w:tr w14:paraId="32CFA761">
        <w:tblPrEx>
          <w:tblCellMar>
            <w:top w:w="0" w:type="dxa"/>
            <w:left w:w="0" w:type="dxa"/>
            <w:bottom w:w="0" w:type="dxa"/>
            <w:right w:w="0" w:type="dxa"/>
          </w:tblCellMar>
        </w:tblPrEx>
        <w:trPr>
          <w:trHeight w:val="512" w:hRule="exac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48F1">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eastAsia="zh-CN"/>
              </w:rPr>
            </w:pPr>
            <w:bookmarkStart w:id="144" w:name="_Toc2066"/>
            <w:r>
              <w:rPr>
                <w:rFonts w:hint="eastAsia" w:ascii="宋体" w:hAnsi="宋体" w:eastAsia="宋体" w:cs="宋体"/>
                <w:b w:val="0"/>
                <w:color w:val="auto"/>
                <w:sz w:val="24"/>
                <w:szCs w:val="24"/>
              </w:rPr>
              <w:t>2</w:t>
            </w:r>
            <w:bookmarkEnd w:id="144"/>
            <w:r>
              <w:rPr>
                <w:rFonts w:hint="eastAsia" w:ascii="宋体" w:eastAsia="宋体" w:cs="宋体"/>
                <w:b w:val="0"/>
                <w:color w:val="auto"/>
                <w:sz w:val="24"/>
                <w:szCs w:val="24"/>
                <w:lang w:val="en-US" w:eastAsia="zh-CN"/>
              </w:rPr>
              <w:t>4</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D919">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145" w:name="_Toc13674"/>
            <w:bookmarkStart w:id="146" w:name="_Toc19038"/>
            <w:bookmarkStart w:id="147" w:name="_Toc7680"/>
            <w:bookmarkStart w:id="148" w:name="_Toc9045"/>
            <w:r>
              <w:rPr>
                <w:rFonts w:hint="eastAsia" w:ascii="宋体" w:hAnsi="宋体" w:eastAsia="宋体" w:cs="宋体"/>
                <w:b w:val="0"/>
                <w:color w:val="auto"/>
                <w:sz w:val="24"/>
                <w:szCs w:val="24"/>
              </w:rPr>
              <w:t>签字或盖章要求</w:t>
            </w:r>
            <w:bookmarkEnd w:id="145"/>
            <w:bookmarkEnd w:id="146"/>
            <w:bookmarkEnd w:id="147"/>
            <w:bookmarkEnd w:id="148"/>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7572">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sz w:val="24"/>
                <w:szCs w:val="24"/>
              </w:rPr>
            </w:pPr>
            <w:bookmarkStart w:id="149" w:name="_Toc31579"/>
            <w:bookmarkStart w:id="150" w:name="_Toc15053"/>
            <w:bookmarkStart w:id="151" w:name="_Toc21453"/>
            <w:bookmarkStart w:id="152" w:name="_Toc24394"/>
            <w:r>
              <w:rPr>
                <w:rFonts w:hint="eastAsia" w:ascii="宋体" w:hAnsi="宋体" w:eastAsia="宋体" w:cs="宋体"/>
                <w:b w:val="0"/>
                <w:color w:val="auto"/>
                <w:sz w:val="24"/>
                <w:szCs w:val="24"/>
              </w:rPr>
              <w:t>按本磋商文件规定</w:t>
            </w:r>
            <w:bookmarkEnd w:id="149"/>
            <w:bookmarkEnd w:id="150"/>
            <w:bookmarkEnd w:id="151"/>
            <w:bookmarkEnd w:id="152"/>
          </w:p>
        </w:tc>
      </w:tr>
      <w:tr w14:paraId="3F2B4231">
        <w:tblPrEx>
          <w:tblCellMar>
            <w:top w:w="0" w:type="dxa"/>
            <w:left w:w="0" w:type="dxa"/>
            <w:bottom w:w="0" w:type="dxa"/>
            <w:right w:w="0" w:type="dxa"/>
          </w:tblCellMar>
        </w:tblPrEx>
        <w:trPr>
          <w:trHeight w:val="1786" w:hRule="exac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908F">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eastAsia="zh-CN"/>
              </w:rPr>
            </w:pPr>
            <w:bookmarkStart w:id="153" w:name="_Toc24655"/>
            <w:r>
              <w:rPr>
                <w:rFonts w:hint="eastAsia" w:ascii="宋体" w:hAnsi="宋体" w:eastAsia="宋体" w:cs="宋体"/>
                <w:b w:val="0"/>
                <w:color w:val="auto"/>
                <w:sz w:val="24"/>
                <w:szCs w:val="24"/>
              </w:rPr>
              <w:t>2</w:t>
            </w:r>
            <w:bookmarkEnd w:id="153"/>
            <w:r>
              <w:rPr>
                <w:rFonts w:hint="eastAsia" w:ascii="宋体" w:eastAsia="宋体" w:cs="宋体"/>
                <w:b w:val="0"/>
                <w:color w:val="auto"/>
                <w:sz w:val="24"/>
                <w:szCs w:val="24"/>
                <w:lang w:val="en-US" w:eastAsia="zh-CN"/>
              </w:rPr>
              <w:t>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A423">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154" w:name="_Toc1137"/>
            <w:bookmarkStart w:id="155" w:name="_Toc13047"/>
            <w:bookmarkStart w:id="156" w:name="_Toc7392"/>
            <w:bookmarkStart w:id="157" w:name="_Toc4220"/>
            <w:r>
              <w:rPr>
                <w:rFonts w:hint="eastAsia" w:ascii="宋体" w:hAnsi="宋体" w:eastAsia="宋体" w:cs="宋体"/>
                <w:b w:val="0"/>
                <w:color w:val="auto"/>
                <w:sz w:val="24"/>
                <w:szCs w:val="24"/>
              </w:rPr>
              <w:t>投标文件份数</w:t>
            </w:r>
            <w:bookmarkEnd w:id="154"/>
            <w:bookmarkEnd w:id="155"/>
            <w:bookmarkEnd w:id="156"/>
            <w:bookmarkEnd w:id="157"/>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1CDC">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投标文件必须胶装，正本一份、副本四份（副本可以是正本的复印件，复印件必须字迹清晰可认）密封在一个信封袋内.</w:t>
            </w:r>
          </w:p>
          <w:p w14:paraId="564FCA05">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开标现场提交用信封密封的投标文件，封袋上注明：采购人名称、项目名称及项目编号、供应商名称，供应商地址，并注明“在</w:t>
            </w:r>
            <w:r>
              <w:rPr>
                <w:rFonts w:hint="eastAsia" w:ascii="宋体" w:hAnsi="宋体" w:eastAsia="宋体" w:cs="宋体"/>
                <w:b/>
                <w:color w:val="auto"/>
                <w:sz w:val="24"/>
                <w:szCs w:val="24"/>
                <w:u w:val="single"/>
              </w:rPr>
              <w:t>202</w:t>
            </w:r>
            <w:r>
              <w:rPr>
                <w:rFonts w:hint="eastAsia" w:ascii="宋体" w:eastAsia="宋体" w:cs="宋体"/>
                <w:b/>
                <w:color w:val="auto"/>
                <w:sz w:val="24"/>
                <w:szCs w:val="24"/>
                <w:u w:val="single"/>
                <w:lang w:val="en-US" w:eastAsia="zh-CN"/>
              </w:rPr>
              <w:t>5</w:t>
            </w:r>
            <w:r>
              <w:rPr>
                <w:rFonts w:hint="eastAsia" w:ascii="宋体" w:hAnsi="宋体" w:eastAsia="宋体" w:cs="宋体"/>
                <w:b/>
                <w:color w:val="auto"/>
                <w:sz w:val="24"/>
                <w:szCs w:val="24"/>
                <w:u w:val="single"/>
              </w:rPr>
              <w:t>年</w:t>
            </w:r>
            <w:r>
              <w:rPr>
                <w:rFonts w:hint="eastAsia" w:ascii="宋体" w:eastAsia="宋体" w:cs="宋体"/>
                <w:b/>
                <w:color w:val="auto"/>
                <w:sz w:val="24"/>
                <w:szCs w:val="24"/>
                <w:u w:val="single"/>
                <w:lang w:val="en-US" w:eastAsia="zh-CN"/>
              </w:rPr>
              <w:t>1</w:t>
            </w:r>
            <w:r>
              <w:rPr>
                <w:rFonts w:hint="eastAsia" w:ascii="宋体" w:hAnsi="宋体" w:eastAsia="宋体" w:cs="宋体"/>
                <w:b/>
                <w:color w:val="auto"/>
                <w:sz w:val="24"/>
                <w:szCs w:val="24"/>
                <w:u w:val="single"/>
              </w:rPr>
              <w:t>月</w:t>
            </w:r>
            <w:r>
              <w:rPr>
                <w:rFonts w:hint="eastAsia" w:ascii="宋体" w:eastAsia="宋体" w:cs="宋体"/>
                <w:b/>
                <w:color w:val="auto"/>
                <w:sz w:val="24"/>
                <w:szCs w:val="24"/>
                <w:u w:val="single"/>
                <w:lang w:val="en-US" w:eastAsia="zh-CN"/>
              </w:rPr>
              <w:t>26</w:t>
            </w:r>
            <w:r>
              <w:rPr>
                <w:rFonts w:hint="eastAsia" w:ascii="宋体" w:hAnsi="宋体" w:eastAsia="宋体" w:cs="宋体"/>
                <w:b/>
                <w:color w:val="auto"/>
                <w:sz w:val="24"/>
                <w:szCs w:val="24"/>
                <w:u w:val="single"/>
                <w:lang w:val="en-US" w:eastAsia="zh-CN"/>
              </w:rPr>
              <w:t>日       8时30</w:t>
            </w:r>
            <w:r>
              <w:rPr>
                <w:rFonts w:hint="eastAsia" w:ascii="宋体" w:hAnsi="宋体" w:eastAsia="宋体" w:cs="宋体"/>
                <w:b/>
                <w:color w:val="auto"/>
                <w:sz w:val="24"/>
                <w:szCs w:val="24"/>
                <w:u w:val="single"/>
              </w:rPr>
              <w:t xml:space="preserve">分 </w:t>
            </w:r>
            <w:r>
              <w:rPr>
                <w:rFonts w:hint="eastAsia" w:ascii="宋体" w:hAnsi="宋体" w:eastAsia="宋体" w:cs="宋体"/>
                <w:color w:val="auto"/>
                <w:sz w:val="24"/>
                <w:szCs w:val="24"/>
              </w:rPr>
              <w:t>（投标截止时间）之前不得启封”字样。</w:t>
            </w:r>
          </w:p>
        </w:tc>
      </w:tr>
      <w:tr w14:paraId="6CB5B483">
        <w:tblPrEx>
          <w:tblCellMar>
            <w:top w:w="0" w:type="dxa"/>
            <w:left w:w="0" w:type="dxa"/>
            <w:bottom w:w="0" w:type="dxa"/>
            <w:right w:w="0" w:type="dxa"/>
          </w:tblCellMar>
        </w:tblPrEx>
        <w:trPr>
          <w:trHeight w:val="533" w:hRule="exac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595D">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eastAsia="zh-CN"/>
              </w:rPr>
            </w:pPr>
            <w:bookmarkStart w:id="158" w:name="_Toc7173"/>
            <w:r>
              <w:rPr>
                <w:rFonts w:hint="eastAsia" w:ascii="宋体" w:hAnsi="宋体" w:eastAsia="宋体" w:cs="宋体"/>
                <w:b w:val="0"/>
                <w:color w:val="auto"/>
                <w:sz w:val="24"/>
                <w:szCs w:val="24"/>
              </w:rPr>
              <w:t>2</w:t>
            </w:r>
            <w:bookmarkEnd w:id="158"/>
            <w:r>
              <w:rPr>
                <w:rFonts w:hint="eastAsia" w:ascii="宋体" w:eastAsia="宋体" w:cs="宋体"/>
                <w:b w:val="0"/>
                <w:color w:val="auto"/>
                <w:sz w:val="24"/>
                <w:szCs w:val="24"/>
                <w:lang w:val="en-US" w:eastAsia="zh-CN"/>
              </w:rPr>
              <w:t>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62B6">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159" w:name="_Toc1095"/>
            <w:bookmarkStart w:id="160" w:name="_Toc12120"/>
            <w:bookmarkStart w:id="161" w:name="_Toc14309"/>
            <w:bookmarkStart w:id="162" w:name="_Toc28368"/>
            <w:r>
              <w:rPr>
                <w:rFonts w:hint="eastAsia" w:ascii="宋体" w:hAnsi="宋体" w:eastAsia="宋体" w:cs="宋体"/>
                <w:b w:val="0"/>
                <w:color w:val="auto"/>
                <w:sz w:val="24"/>
                <w:szCs w:val="24"/>
              </w:rPr>
              <w:t>递交投标文件地点</w:t>
            </w:r>
            <w:bookmarkEnd w:id="159"/>
            <w:bookmarkEnd w:id="160"/>
            <w:bookmarkEnd w:id="161"/>
            <w:bookmarkEnd w:id="162"/>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50C1">
            <w:pPr>
              <w:pStyle w:val="8"/>
              <w:keepNext w:val="0"/>
              <w:keepLines w:val="0"/>
              <w:pageBreakBefore w:val="0"/>
              <w:widowControl/>
              <w:kinsoku/>
              <w:wordWrap/>
              <w:overflowPunct/>
              <w:topLinePunct w:val="0"/>
              <w:bidi w:val="0"/>
              <w:spacing w:line="360" w:lineRule="exact"/>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lang w:eastAsia="zh-CN"/>
              </w:rPr>
              <w:t>淮南市</w:t>
            </w:r>
            <w:r>
              <w:rPr>
                <w:rFonts w:hint="eastAsia" w:ascii="宋体" w:eastAsia="宋体" w:cs="宋体"/>
                <w:color w:val="auto"/>
                <w:sz w:val="24"/>
                <w:lang w:val="en-US" w:eastAsia="zh-CN"/>
              </w:rPr>
              <w:t>应急管理</w:t>
            </w:r>
            <w:r>
              <w:rPr>
                <w:rFonts w:hint="eastAsia" w:ascii="宋体" w:hAnsi="宋体" w:eastAsia="宋体" w:cs="宋体"/>
                <w:color w:val="auto"/>
                <w:sz w:val="24"/>
                <w:lang w:eastAsia="zh-CN"/>
              </w:rPr>
              <w:t>局</w:t>
            </w:r>
            <w:r>
              <w:rPr>
                <w:rFonts w:hint="eastAsia" w:ascii="宋体" w:eastAsia="宋体" w:cs="宋体"/>
                <w:color w:val="auto"/>
                <w:sz w:val="24"/>
                <w:lang w:val="en-US" w:eastAsia="zh-CN"/>
              </w:rPr>
              <w:t>六</w:t>
            </w:r>
            <w:r>
              <w:rPr>
                <w:rFonts w:hint="eastAsia" w:ascii="宋体" w:hAnsi="宋体" w:eastAsia="宋体" w:cs="宋体"/>
                <w:color w:val="auto"/>
                <w:sz w:val="24"/>
                <w:lang w:val="en-US" w:eastAsia="zh-CN"/>
              </w:rPr>
              <w:t>楼</w:t>
            </w:r>
            <w:r>
              <w:rPr>
                <w:rFonts w:hint="eastAsia" w:ascii="宋体" w:eastAsia="宋体" w:cs="宋体"/>
                <w:color w:val="auto"/>
                <w:sz w:val="24"/>
                <w:lang w:val="en-US" w:eastAsia="zh-CN"/>
              </w:rPr>
              <w:t>二</w:t>
            </w:r>
            <w:r>
              <w:rPr>
                <w:rFonts w:hint="eastAsia" w:ascii="宋体" w:hAnsi="宋体" w:eastAsia="宋体" w:cs="宋体"/>
                <w:color w:val="auto"/>
                <w:sz w:val="24"/>
                <w:lang w:val="en-US" w:eastAsia="zh-CN"/>
              </w:rPr>
              <w:t>号会议室</w:t>
            </w:r>
          </w:p>
        </w:tc>
      </w:tr>
      <w:tr w14:paraId="4E1008AE">
        <w:tblPrEx>
          <w:tblCellMar>
            <w:top w:w="0" w:type="dxa"/>
            <w:left w:w="0" w:type="dxa"/>
            <w:bottom w:w="0" w:type="dxa"/>
            <w:right w:w="0" w:type="dxa"/>
          </w:tblCellMar>
        </w:tblPrEx>
        <w:trPr>
          <w:trHeight w:val="513" w:hRule="exact"/>
        </w:trPr>
        <w:tc>
          <w:tcPr>
            <w:tcW w:w="625" w:type="dxa"/>
            <w:tcBorders>
              <w:top w:val="single" w:color="000000" w:sz="4" w:space="0"/>
              <w:left w:val="single" w:color="000000" w:sz="4" w:space="0"/>
              <w:bottom w:val="single" w:color="auto" w:sz="4" w:space="0"/>
              <w:right w:val="single" w:color="000000" w:sz="4" w:space="0"/>
            </w:tcBorders>
            <w:shd w:val="clear" w:color="auto" w:fill="auto"/>
            <w:vAlign w:val="center"/>
          </w:tcPr>
          <w:p w14:paraId="1BF666B5">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eastAsia="zh-CN"/>
              </w:rPr>
            </w:pPr>
            <w:bookmarkStart w:id="163" w:name="_Toc19810"/>
            <w:r>
              <w:rPr>
                <w:rFonts w:hint="eastAsia" w:ascii="宋体" w:hAnsi="宋体" w:eastAsia="宋体" w:cs="宋体"/>
                <w:b w:val="0"/>
                <w:color w:val="auto"/>
                <w:sz w:val="24"/>
                <w:szCs w:val="24"/>
              </w:rPr>
              <w:t>2</w:t>
            </w:r>
            <w:bookmarkEnd w:id="163"/>
            <w:r>
              <w:rPr>
                <w:rFonts w:hint="eastAsia" w:ascii="宋体" w:eastAsia="宋体" w:cs="宋体"/>
                <w:b w:val="0"/>
                <w:color w:val="auto"/>
                <w:sz w:val="24"/>
                <w:szCs w:val="24"/>
                <w:lang w:val="en-US" w:eastAsia="zh-CN"/>
              </w:rPr>
              <w:t>7</w:t>
            </w:r>
          </w:p>
        </w:tc>
        <w:tc>
          <w:tcPr>
            <w:tcW w:w="1930" w:type="dxa"/>
            <w:tcBorders>
              <w:top w:val="single" w:color="000000" w:sz="4" w:space="0"/>
              <w:left w:val="single" w:color="000000" w:sz="4" w:space="0"/>
              <w:bottom w:val="single" w:color="auto" w:sz="4" w:space="0"/>
              <w:right w:val="single" w:color="000000" w:sz="4" w:space="0"/>
            </w:tcBorders>
            <w:shd w:val="clear" w:color="auto" w:fill="auto"/>
            <w:vAlign w:val="center"/>
          </w:tcPr>
          <w:p w14:paraId="0283AE44">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164" w:name="_Toc26553"/>
            <w:bookmarkStart w:id="165" w:name="_Toc18607"/>
            <w:bookmarkStart w:id="166" w:name="_Toc23536"/>
            <w:bookmarkStart w:id="167" w:name="_Toc11242"/>
            <w:r>
              <w:rPr>
                <w:rFonts w:hint="eastAsia" w:ascii="宋体" w:hAnsi="宋体" w:eastAsia="宋体" w:cs="宋体"/>
                <w:b w:val="0"/>
                <w:color w:val="auto"/>
                <w:sz w:val="24"/>
                <w:szCs w:val="24"/>
              </w:rPr>
              <w:t>是否退还投标文件</w:t>
            </w:r>
            <w:bookmarkEnd w:id="164"/>
            <w:bookmarkEnd w:id="165"/>
            <w:bookmarkEnd w:id="166"/>
            <w:bookmarkEnd w:id="167"/>
          </w:p>
        </w:tc>
        <w:tc>
          <w:tcPr>
            <w:tcW w:w="7665" w:type="dxa"/>
            <w:tcBorders>
              <w:top w:val="single" w:color="000000" w:sz="4" w:space="0"/>
              <w:left w:val="single" w:color="000000" w:sz="4" w:space="0"/>
              <w:bottom w:val="single" w:color="auto" w:sz="4" w:space="0"/>
              <w:right w:val="single" w:color="000000" w:sz="4" w:space="0"/>
            </w:tcBorders>
            <w:shd w:val="clear" w:color="auto" w:fill="auto"/>
            <w:vAlign w:val="center"/>
          </w:tcPr>
          <w:p w14:paraId="44260302">
            <w:pPr>
              <w:pStyle w:val="8"/>
              <w:keepNext w:val="0"/>
              <w:keepLines w:val="0"/>
              <w:pageBreakBefore w:val="0"/>
              <w:widowControl/>
              <w:kinsoku/>
              <w:wordWrap/>
              <w:overflowPunct/>
              <w:topLinePunct w:val="0"/>
              <w:bidi w:val="0"/>
              <w:spacing w:line="360" w:lineRule="exact"/>
              <w:textAlignment w:val="auto"/>
              <w:rPr>
                <w:rFonts w:hint="eastAsia" w:ascii="宋体" w:hAnsi="宋体" w:eastAsia="宋体" w:cs="宋体"/>
                <w:b w:val="0"/>
                <w:color w:val="auto"/>
                <w:sz w:val="24"/>
                <w:szCs w:val="24"/>
              </w:rPr>
            </w:pPr>
            <w:bookmarkStart w:id="168" w:name="_Toc1232"/>
            <w:bookmarkStart w:id="169" w:name="_Toc10402"/>
            <w:bookmarkStart w:id="170" w:name="_Toc30822"/>
            <w:bookmarkStart w:id="171" w:name="_Toc31840"/>
            <w:r>
              <w:rPr>
                <w:rFonts w:hint="eastAsia" w:ascii="宋体" w:hAnsi="宋体" w:eastAsia="宋体" w:cs="宋体"/>
                <w:b w:val="0"/>
                <w:color w:val="auto"/>
                <w:sz w:val="24"/>
                <w:szCs w:val="24"/>
              </w:rPr>
              <w:t>否</w:t>
            </w:r>
            <w:bookmarkEnd w:id="168"/>
            <w:bookmarkEnd w:id="169"/>
            <w:bookmarkEnd w:id="170"/>
            <w:bookmarkEnd w:id="171"/>
          </w:p>
          <w:p w14:paraId="306A6760">
            <w:pPr>
              <w:pStyle w:val="8"/>
              <w:keepNext w:val="0"/>
              <w:keepLines w:val="0"/>
              <w:pageBreakBefore w:val="0"/>
              <w:widowControl/>
              <w:kinsoku/>
              <w:wordWrap/>
              <w:overflowPunct/>
              <w:topLinePunct w:val="0"/>
              <w:bidi w:val="0"/>
              <w:spacing w:line="360" w:lineRule="exact"/>
              <w:textAlignment w:val="auto"/>
              <w:rPr>
                <w:rFonts w:hint="eastAsia" w:ascii="宋体" w:hAnsi="宋体" w:eastAsia="宋体" w:cs="宋体"/>
                <w:b w:val="0"/>
                <w:color w:val="auto"/>
                <w:sz w:val="24"/>
                <w:szCs w:val="24"/>
              </w:rPr>
            </w:pPr>
          </w:p>
          <w:p w14:paraId="177546DD">
            <w:pPr>
              <w:pStyle w:val="8"/>
              <w:keepNext w:val="0"/>
              <w:keepLines w:val="0"/>
              <w:pageBreakBefore w:val="0"/>
              <w:widowControl/>
              <w:kinsoku/>
              <w:wordWrap/>
              <w:overflowPunct/>
              <w:topLinePunct w:val="0"/>
              <w:bidi w:val="0"/>
              <w:spacing w:line="360" w:lineRule="exact"/>
              <w:textAlignment w:val="auto"/>
              <w:rPr>
                <w:rFonts w:hint="eastAsia" w:ascii="宋体" w:hAnsi="宋体" w:eastAsia="宋体" w:cs="宋体"/>
                <w:b w:val="0"/>
                <w:color w:val="auto"/>
                <w:sz w:val="24"/>
                <w:szCs w:val="24"/>
              </w:rPr>
            </w:pPr>
          </w:p>
          <w:p w14:paraId="10AE9075">
            <w:pPr>
              <w:pStyle w:val="8"/>
              <w:keepNext w:val="0"/>
              <w:keepLines w:val="0"/>
              <w:pageBreakBefore w:val="0"/>
              <w:widowControl/>
              <w:kinsoku/>
              <w:wordWrap/>
              <w:overflowPunct/>
              <w:topLinePunct w:val="0"/>
              <w:bidi w:val="0"/>
              <w:spacing w:line="360" w:lineRule="exact"/>
              <w:textAlignment w:val="auto"/>
              <w:rPr>
                <w:rFonts w:hint="eastAsia" w:ascii="宋体" w:hAnsi="宋体" w:eastAsia="宋体" w:cs="宋体"/>
                <w:b w:val="0"/>
                <w:color w:val="auto"/>
                <w:sz w:val="24"/>
                <w:szCs w:val="24"/>
              </w:rPr>
            </w:pPr>
          </w:p>
          <w:p w14:paraId="2650EB8E">
            <w:pPr>
              <w:pStyle w:val="8"/>
              <w:keepNext w:val="0"/>
              <w:keepLines w:val="0"/>
              <w:pageBreakBefore w:val="0"/>
              <w:widowControl/>
              <w:kinsoku/>
              <w:wordWrap/>
              <w:overflowPunct/>
              <w:topLinePunct w:val="0"/>
              <w:bidi w:val="0"/>
              <w:spacing w:line="360" w:lineRule="exact"/>
              <w:textAlignment w:val="auto"/>
              <w:rPr>
                <w:rFonts w:hint="eastAsia" w:ascii="宋体" w:hAnsi="宋体" w:eastAsia="宋体" w:cs="宋体"/>
                <w:b w:val="0"/>
                <w:color w:val="auto"/>
                <w:sz w:val="24"/>
                <w:szCs w:val="24"/>
              </w:rPr>
            </w:pPr>
          </w:p>
          <w:p w14:paraId="3AE50CB0">
            <w:pPr>
              <w:pStyle w:val="8"/>
              <w:keepNext w:val="0"/>
              <w:keepLines w:val="0"/>
              <w:pageBreakBefore w:val="0"/>
              <w:widowControl/>
              <w:kinsoku/>
              <w:wordWrap/>
              <w:overflowPunct/>
              <w:topLinePunct w:val="0"/>
              <w:bidi w:val="0"/>
              <w:spacing w:line="360" w:lineRule="exact"/>
              <w:textAlignment w:val="auto"/>
              <w:rPr>
                <w:rFonts w:hint="eastAsia" w:ascii="宋体" w:hAnsi="宋体" w:eastAsia="宋体" w:cs="宋体"/>
                <w:b w:val="0"/>
                <w:color w:val="auto"/>
                <w:sz w:val="24"/>
                <w:szCs w:val="24"/>
              </w:rPr>
            </w:pPr>
          </w:p>
          <w:p w14:paraId="393B4737">
            <w:pPr>
              <w:pStyle w:val="8"/>
              <w:keepNext w:val="0"/>
              <w:keepLines w:val="0"/>
              <w:pageBreakBefore w:val="0"/>
              <w:widowControl/>
              <w:kinsoku/>
              <w:wordWrap/>
              <w:overflowPunct/>
              <w:topLinePunct w:val="0"/>
              <w:bidi w:val="0"/>
              <w:spacing w:line="360" w:lineRule="exact"/>
              <w:textAlignment w:val="auto"/>
              <w:rPr>
                <w:rFonts w:hint="eastAsia" w:ascii="宋体" w:hAnsi="宋体" w:eastAsia="宋体" w:cs="宋体"/>
                <w:b w:val="0"/>
                <w:color w:val="auto"/>
                <w:sz w:val="24"/>
                <w:szCs w:val="24"/>
              </w:rPr>
            </w:pPr>
          </w:p>
          <w:p w14:paraId="26641C93">
            <w:pPr>
              <w:pStyle w:val="8"/>
              <w:keepNext w:val="0"/>
              <w:keepLines w:val="0"/>
              <w:pageBreakBefore w:val="0"/>
              <w:widowControl/>
              <w:kinsoku/>
              <w:wordWrap/>
              <w:overflowPunct/>
              <w:topLinePunct w:val="0"/>
              <w:bidi w:val="0"/>
              <w:spacing w:line="360" w:lineRule="exact"/>
              <w:textAlignment w:val="auto"/>
              <w:rPr>
                <w:rFonts w:hint="eastAsia" w:ascii="宋体" w:hAnsi="宋体" w:eastAsia="宋体" w:cs="宋体"/>
                <w:b w:val="0"/>
                <w:color w:val="auto"/>
                <w:sz w:val="24"/>
                <w:szCs w:val="24"/>
              </w:rPr>
            </w:pPr>
          </w:p>
          <w:p w14:paraId="168FF336">
            <w:pPr>
              <w:pStyle w:val="8"/>
              <w:keepNext w:val="0"/>
              <w:keepLines w:val="0"/>
              <w:pageBreakBefore w:val="0"/>
              <w:widowControl/>
              <w:kinsoku/>
              <w:wordWrap/>
              <w:overflowPunct/>
              <w:topLinePunct w:val="0"/>
              <w:bidi w:val="0"/>
              <w:spacing w:line="360" w:lineRule="exact"/>
              <w:textAlignment w:val="auto"/>
              <w:rPr>
                <w:rFonts w:hint="eastAsia" w:ascii="宋体" w:hAnsi="宋体" w:eastAsia="宋体" w:cs="宋体"/>
                <w:b w:val="0"/>
                <w:color w:val="auto"/>
                <w:sz w:val="24"/>
                <w:szCs w:val="24"/>
              </w:rPr>
            </w:pPr>
          </w:p>
          <w:p w14:paraId="0950EF46">
            <w:pPr>
              <w:pStyle w:val="8"/>
              <w:keepNext w:val="0"/>
              <w:keepLines w:val="0"/>
              <w:pageBreakBefore w:val="0"/>
              <w:widowControl/>
              <w:kinsoku/>
              <w:wordWrap/>
              <w:overflowPunct/>
              <w:topLinePunct w:val="0"/>
              <w:bidi w:val="0"/>
              <w:spacing w:line="360" w:lineRule="exact"/>
              <w:textAlignment w:val="auto"/>
              <w:rPr>
                <w:rFonts w:hint="eastAsia" w:ascii="宋体" w:hAnsi="宋体" w:eastAsia="宋体" w:cs="宋体"/>
                <w:b w:val="0"/>
                <w:color w:val="auto"/>
                <w:sz w:val="24"/>
                <w:szCs w:val="24"/>
              </w:rPr>
            </w:pPr>
          </w:p>
        </w:tc>
      </w:tr>
      <w:tr w14:paraId="01D39E04">
        <w:tblPrEx>
          <w:tblCellMar>
            <w:top w:w="0" w:type="dxa"/>
            <w:left w:w="0" w:type="dxa"/>
            <w:bottom w:w="0" w:type="dxa"/>
            <w:right w:w="0" w:type="dxa"/>
          </w:tblCellMar>
        </w:tblPrEx>
        <w:trPr>
          <w:trHeight w:val="720" w:hRule="exact"/>
        </w:trPr>
        <w:tc>
          <w:tcPr>
            <w:tcW w:w="625" w:type="dxa"/>
            <w:tcBorders>
              <w:top w:val="single" w:color="auto" w:sz="4" w:space="0"/>
              <w:left w:val="single" w:color="000000" w:sz="4" w:space="0"/>
              <w:bottom w:val="single" w:color="auto" w:sz="4" w:space="0"/>
              <w:right w:val="single" w:color="000000" w:sz="4" w:space="0"/>
            </w:tcBorders>
            <w:shd w:val="clear" w:color="auto" w:fill="auto"/>
            <w:vAlign w:val="center"/>
          </w:tcPr>
          <w:p w14:paraId="7DA94187">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eastAsia="zh-CN"/>
              </w:rPr>
            </w:pPr>
            <w:bookmarkStart w:id="172" w:name="_Toc24868"/>
            <w:r>
              <w:rPr>
                <w:rFonts w:hint="eastAsia" w:ascii="宋体" w:hAnsi="宋体" w:eastAsia="宋体" w:cs="宋体"/>
                <w:b w:val="0"/>
                <w:color w:val="auto"/>
                <w:sz w:val="24"/>
                <w:szCs w:val="24"/>
              </w:rPr>
              <w:t>2</w:t>
            </w:r>
            <w:bookmarkEnd w:id="172"/>
            <w:r>
              <w:rPr>
                <w:rFonts w:hint="eastAsia" w:ascii="宋体" w:eastAsia="宋体" w:cs="宋体"/>
                <w:b w:val="0"/>
                <w:color w:val="auto"/>
                <w:sz w:val="24"/>
                <w:szCs w:val="24"/>
                <w:lang w:val="en-US" w:eastAsia="zh-CN"/>
              </w:rPr>
              <w:t>8</w:t>
            </w:r>
          </w:p>
        </w:tc>
        <w:tc>
          <w:tcPr>
            <w:tcW w:w="1930" w:type="dxa"/>
            <w:tcBorders>
              <w:top w:val="single" w:color="auto" w:sz="4" w:space="0"/>
              <w:left w:val="single" w:color="000000" w:sz="4" w:space="0"/>
              <w:bottom w:val="single" w:color="auto" w:sz="4" w:space="0"/>
              <w:right w:val="single" w:color="000000" w:sz="4" w:space="0"/>
            </w:tcBorders>
            <w:shd w:val="clear" w:color="auto" w:fill="auto"/>
            <w:vAlign w:val="center"/>
          </w:tcPr>
          <w:p w14:paraId="3A43E5CA">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173" w:name="_Toc19594"/>
            <w:bookmarkStart w:id="174" w:name="_Toc31226"/>
            <w:bookmarkStart w:id="175" w:name="_Toc10354"/>
            <w:bookmarkStart w:id="176" w:name="_Toc2446"/>
            <w:r>
              <w:rPr>
                <w:rFonts w:hint="eastAsia" w:ascii="宋体" w:hAnsi="宋体" w:eastAsia="宋体" w:cs="宋体"/>
                <w:b w:val="0"/>
                <w:color w:val="auto"/>
                <w:sz w:val="24"/>
                <w:szCs w:val="24"/>
              </w:rPr>
              <w:t>开标时间和地点</w:t>
            </w:r>
            <w:bookmarkEnd w:id="173"/>
            <w:bookmarkEnd w:id="174"/>
            <w:bookmarkEnd w:id="175"/>
            <w:bookmarkEnd w:id="176"/>
          </w:p>
        </w:tc>
        <w:tc>
          <w:tcPr>
            <w:tcW w:w="7665" w:type="dxa"/>
            <w:tcBorders>
              <w:top w:val="single" w:color="auto" w:sz="4" w:space="0"/>
              <w:left w:val="single" w:color="000000" w:sz="4" w:space="0"/>
              <w:bottom w:val="single" w:color="auto" w:sz="4" w:space="0"/>
              <w:right w:val="single" w:color="000000" w:sz="4" w:space="0"/>
            </w:tcBorders>
            <w:shd w:val="clear" w:color="auto" w:fill="auto"/>
            <w:vAlign w:val="center"/>
          </w:tcPr>
          <w:p w14:paraId="01B9DC13">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sz w:val="24"/>
                <w:szCs w:val="24"/>
              </w:rPr>
            </w:pPr>
            <w:bookmarkStart w:id="177" w:name="_Toc10596"/>
            <w:bookmarkStart w:id="178" w:name="_Toc27324"/>
            <w:bookmarkStart w:id="179" w:name="_Toc30687"/>
            <w:bookmarkStart w:id="180" w:name="_Toc3980"/>
            <w:r>
              <w:rPr>
                <w:rFonts w:hint="eastAsia" w:ascii="宋体" w:hAnsi="宋体" w:eastAsia="宋体" w:cs="宋体"/>
                <w:b w:val="0"/>
                <w:color w:val="auto"/>
                <w:sz w:val="24"/>
                <w:szCs w:val="24"/>
              </w:rPr>
              <w:t>开标时间：202</w:t>
            </w:r>
            <w:r>
              <w:rPr>
                <w:rFonts w:hint="eastAsia" w:ascii="宋体" w:eastAsia="宋体" w:cs="宋体"/>
                <w:b w:val="0"/>
                <w:color w:val="auto"/>
                <w:sz w:val="24"/>
                <w:szCs w:val="24"/>
                <w:lang w:val="en-US" w:eastAsia="zh-CN"/>
              </w:rPr>
              <w:t>5</w:t>
            </w:r>
            <w:r>
              <w:rPr>
                <w:rFonts w:hint="eastAsia" w:ascii="宋体" w:hAnsi="宋体" w:eastAsia="宋体" w:cs="宋体"/>
                <w:b w:val="0"/>
                <w:color w:val="auto"/>
                <w:sz w:val="24"/>
                <w:szCs w:val="24"/>
              </w:rPr>
              <w:t>年</w:t>
            </w:r>
            <w:r>
              <w:rPr>
                <w:rFonts w:hint="eastAsia" w:ascii="宋体" w:eastAsia="宋体" w:cs="宋体"/>
                <w:b w:val="0"/>
                <w:color w:val="auto"/>
                <w:sz w:val="24"/>
                <w:szCs w:val="24"/>
                <w:lang w:val="en-US" w:eastAsia="zh-CN"/>
              </w:rPr>
              <w:t>1</w:t>
            </w:r>
            <w:r>
              <w:rPr>
                <w:rFonts w:hint="eastAsia" w:ascii="宋体" w:hAnsi="宋体" w:eastAsia="宋体" w:cs="宋体"/>
                <w:b w:val="0"/>
                <w:color w:val="auto"/>
                <w:sz w:val="24"/>
                <w:szCs w:val="24"/>
              </w:rPr>
              <w:t>月</w:t>
            </w:r>
            <w:r>
              <w:rPr>
                <w:rFonts w:hint="eastAsia" w:ascii="宋体" w:eastAsia="宋体" w:cs="宋体"/>
                <w:b w:val="0"/>
                <w:color w:val="auto"/>
                <w:sz w:val="24"/>
                <w:szCs w:val="24"/>
                <w:lang w:val="en-US" w:eastAsia="zh-CN"/>
              </w:rPr>
              <w:t>26</w:t>
            </w:r>
            <w:r>
              <w:rPr>
                <w:rFonts w:hint="eastAsia" w:ascii="宋体" w:hAnsi="宋体" w:eastAsia="宋体" w:cs="宋体"/>
                <w:b w:val="0"/>
                <w:color w:val="auto"/>
                <w:sz w:val="24"/>
                <w:szCs w:val="24"/>
              </w:rPr>
              <w:t>日</w:t>
            </w:r>
            <w:r>
              <w:rPr>
                <w:rFonts w:hint="eastAsia" w:ascii="宋体" w:eastAsia="宋体" w:cs="宋体"/>
                <w:b w:val="0"/>
                <w:color w:val="auto"/>
                <w:sz w:val="24"/>
                <w:szCs w:val="24"/>
                <w:lang w:val="en-US" w:eastAsia="zh-CN"/>
              </w:rPr>
              <w:t>8</w:t>
            </w:r>
            <w:r>
              <w:rPr>
                <w:rFonts w:hint="eastAsia" w:ascii="宋体" w:hAnsi="宋体" w:eastAsia="宋体" w:cs="宋体"/>
                <w:b w:val="0"/>
                <w:color w:val="auto"/>
                <w:sz w:val="24"/>
                <w:szCs w:val="24"/>
              </w:rPr>
              <w:t>时</w:t>
            </w:r>
            <w:r>
              <w:rPr>
                <w:rFonts w:hint="eastAsia" w:ascii="宋体" w:eastAsia="宋体" w:cs="宋体"/>
                <w:b w:val="0"/>
                <w:color w:val="auto"/>
                <w:sz w:val="24"/>
                <w:szCs w:val="24"/>
                <w:lang w:val="en-US" w:eastAsia="zh-CN"/>
              </w:rPr>
              <w:t>30</w:t>
            </w:r>
            <w:r>
              <w:rPr>
                <w:rFonts w:hint="eastAsia" w:ascii="宋体" w:hAnsi="宋体" w:eastAsia="宋体" w:cs="宋体"/>
                <w:b w:val="0"/>
                <w:color w:val="auto"/>
                <w:sz w:val="24"/>
                <w:szCs w:val="24"/>
              </w:rPr>
              <w:t>分</w:t>
            </w:r>
            <w:bookmarkEnd w:id="177"/>
            <w:bookmarkEnd w:id="178"/>
            <w:bookmarkEnd w:id="179"/>
            <w:bookmarkEnd w:id="180"/>
          </w:p>
          <w:p w14:paraId="54A4796C">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sz w:val="24"/>
                <w:szCs w:val="24"/>
              </w:rPr>
            </w:pPr>
            <w:bookmarkStart w:id="181" w:name="_Toc29873"/>
            <w:bookmarkStart w:id="182" w:name="_Toc16761"/>
            <w:bookmarkStart w:id="183" w:name="_Toc15032"/>
            <w:bookmarkStart w:id="184" w:name="_Toc6544"/>
            <w:r>
              <w:rPr>
                <w:rFonts w:hint="eastAsia" w:ascii="宋体" w:hAnsi="宋体" w:eastAsia="宋体" w:cs="宋体"/>
                <w:b w:val="0"/>
                <w:color w:val="auto"/>
                <w:sz w:val="24"/>
                <w:szCs w:val="24"/>
              </w:rPr>
              <w:t>开标地点：</w:t>
            </w:r>
            <w:bookmarkEnd w:id="181"/>
            <w:bookmarkEnd w:id="182"/>
            <w:bookmarkEnd w:id="183"/>
            <w:bookmarkEnd w:id="184"/>
            <w:r>
              <w:rPr>
                <w:rFonts w:hint="eastAsia" w:ascii="宋体" w:hAnsi="宋体" w:eastAsia="宋体" w:cs="宋体"/>
                <w:color w:val="auto"/>
                <w:sz w:val="24"/>
                <w:lang w:eastAsia="zh-CN"/>
              </w:rPr>
              <w:t>淮南市</w:t>
            </w:r>
            <w:r>
              <w:rPr>
                <w:rFonts w:hint="eastAsia" w:ascii="宋体" w:eastAsia="宋体" w:cs="宋体"/>
                <w:color w:val="auto"/>
                <w:sz w:val="24"/>
                <w:lang w:val="en-US" w:eastAsia="zh-CN"/>
              </w:rPr>
              <w:t>应急管理</w:t>
            </w:r>
            <w:r>
              <w:rPr>
                <w:rFonts w:hint="eastAsia" w:ascii="宋体" w:hAnsi="宋体" w:eastAsia="宋体" w:cs="宋体"/>
                <w:color w:val="auto"/>
                <w:sz w:val="24"/>
                <w:lang w:eastAsia="zh-CN"/>
              </w:rPr>
              <w:t>局</w:t>
            </w:r>
            <w:r>
              <w:rPr>
                <w:rFonts w:hint="eastAsia" w:ascii="宋体" w:eastAsia="宋体" w:cs="宋体"/>
                <w:color w:val="auto"/>
                <w:sz w:val="24"/>
                <w:lang w:val="en-US" w:eastAsia="zh-CN"/>
              </w:rPr>
              <w:t>六</w:t>
            </w:r>
            <w:r>
              <w:rPr>
                <w:rFonts w:hint="eastAsia" w:ascii="宋体" w:hAnsi="宋体" w:eastAsia="宋体" w:cs="宋体"/>
                <w:color w:val="auto"/>
                <w:sz w:val="24"/>
                <w:lang w:val="en-US" w:eastAsia="zh-CN"/>
              </w:rPr>
              <w:t>楼</w:t>
            </w:r>
            <w:r>
              <w:rPr>
                <w:rFonts w:hint="eastAsia" w:ascii="宋体" w:eastAsia="宋体" w:cs="宋体"/>
                <w:color w:val="auto"/>
                <w:sz w:val="24"/>
                <w:lang w:val="en-US" w:eastAsia="zh-CN"/>
              </w:rPr>
              <w:t>二</w:t>
            </w:r>
            <w:r>
              <w:rPr>
                <w:rFonts w:hint="eastAsia" w:ascii="宋体" w:hAnsi="宋体" w:eastAsia="宋体" w:cs="宋体"/>
                <w:color w:val="auto"/>
                <w:sz w:val="24"/>
                <w:lang w:val="en-US" w:eastAsia="zh-CN"/>
              </w:rPr>
              <w:t>号会议室</w:t>
            </w:r>
          </w:p>
        </w:tc>
      </w:tr>
      <w:tr w14:paraId="40373DC7">
        <w:tblPrEx>
          <w:tblCellMar>
            <w:top w:w="0" w:type="dxa"/>
            <w:left w:w="0" w:type="dxa"/>
            <w:bottom w:w="0" w:type="dxa"/>
            <w:right w:w="0" w:type="dxa"/>
          </w:tblCellMar>
        </w:tblPrEx>
        <w:trPr>
          <w:trHeight w:val="1514" w:hRule="exact"/>
        </w:trPr>
        <w:tc>
          <w:tcPr>
            <w:tcW w:w="625" w:type="dxa"/>
            <w:tcBorders>
              <w:top w:val="single" w:color="auto" w:sz="4" w:space="0"/>
              <w:left w:val="single" w:color="000000" w:sz="4" w:space="0"/>
              <w:bottom w:val="single" w:color="auto" w:sz="4" w:space="0"/>
              <w:right w:val="single" w:color="000000" w:sz="4" w:space="0"/>
            </w:tcBorders>
            <w:shd w:val="clear" w:color="auto" w:fill="auto"/>
            <w:vAlign w:val="center"/>
          </w:tcPr>
          <w:p w14:paraId="5133CCFB">
            <w:pPr>
              <w:pStyle w:val="8"/>
              <w:keepNext w:val="0"/>
              <w:keepLines w:val="0"/>
              <w:pageBreakBefore w:val="0"/>
              <w:widowControl/>
              <w:kinsoku/>
              <w:wordWrap/>
              <w:overflowPunct/>
              <w:topLinePunct w:val="0"/>
              <w:bidi w:val="0"/>
              <w:spacing w:line="360" w:lineRule="exact"/>
              <w:jc w:val="center"/>
              <w:textAlignment w:val="auto"/>
              <w:rPr>
                <w:rFonts w:hint="default" w:ascii="宋体" w:hAnsi="宋体" w:eastAsia="宋体" w:cs="宋体"/>
                <w:b w:val="0"/>
                <w:color w:val="auto"/>
                <w:sz w:val="24"/>
                <w:szCs w:val="24"/>
                <w:lang w:val="en-US" w:eastAsia="zh-CN"/>
              </w:rPr>
            </w:pPr>
            <w:r>
              <w:rPr>
                <w:rFonts w:hint="eastAsia" w:ascii="宋体" w:eastAsia="宋体" w:cs="宋体"/>
                <w:b w:val="0"/>
                <w:color w:val="auto"/>
                <w:sz w:val="24"/>
                <w:szCs w:val="24"/>
                <w:lang w:val="en-US" w:eastAsia="zh-CN"/>
              </w:rPr>
              <w:t>29</w:t>
            </w:r>
          </w:p>
        </w:tc>
        <w:tc>
          <w:tcPr>
            <w:tcW w:w="1930" w:type="dxa"/>
            <w:tcBorders>
              <w:top w:val="single" w:color="auto" w:sz="4" w:space="0"/>
              <w:left w:val="single" w:color="000000" w:sz="4" w:space="0"/>
              <w:bottom w:val="single" w:color="auto" w:sz="4" w:space="0"/>
              <w:right w:val="single" w:color="000000" w:sz="4" w:space="0"/>
            </w:tcBorders>
            <w:shd w:val="clear" w:color="auto" w:fill="auto"/>
            <w:vAlign w:val="center"/>
          </w:tcPr>
          <w:p w14:paraId="359C133F">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185" w:name="_Toc19129"/>
            <w:bookmarkStart w:id="186" w:name="_Toc8744"/>
            <w:bookmarkStart w:id="187" w:name="_Toc24494"/>
            <w:bookmarkStart w:id="188" w:name="_Toc9064"/>
            <w:r>
              <w:rPr>
                <w:rFonts w:hint="eastAsia" w:ascii="宋体" w:hAnsi="宋体" w:eastAsia="宋体" w:cs="宋体"/>
                <w:b w:val="0"/>
                <w:color w:val="auto"/>
                <w:sz w:val="24"/>
                <w:szCs w:val="24"/>
              </w:rPr>
              <w:t>开标程序</w:t>
            </w:r>
            <w:bookmarkEnd w:id="185"/>
            <w:bookmarkEnd w:id="186"/>
            <w:bookmarkEnd w:id="187"/>
            <w:bookmarkEnd w:id="188"/>
          </w:p>
        </w:tc>
        <w:tc>
          <w:tcPr>
            <w:tcW w:w="7665" w:type="dxa"/>
            <w:tcBorders>
              <w:top w:val="single" w:color="auto" w:sz="4" w:space="0"/>
              <w:left w:val="single" w:color="000000" w:sz="4" w:space="0"/>
              <w:bottom w:val="single" w:color="auto" w:sz="4" w:space="0"/>
              <w:right w:val="single" w:color="000000" w:sz="4" w:space="0"/>
            </w:tcBorders>
            <w:shd w:val="clear" w:color="auto" w:fill="auto"/>
            <w:vAlign w:val="center"/>
          </w:tcPr>
          <w:p w14:paraId="0E8F6E11">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sz w:val="24"/>
                <w:szCs w:val="24"/>
              </w:rPr>
            </w:pPr>
            <w:r>
              <w:rPr>
                <w:rFonts w:hint="eastAsia" w:ascii="宋体" w:hAnsi="宋体" w:eastAsia="宋体" w:cs="宋体"/>
                <w:b w:val="0"/>
                <w:bCs/>
                <w:color w:val="auto"/>
                <w:sz w:val="24"/>
                <w:szCs w:val="24"/>
              </w:rPr>
              <w:t>开标会由招标代理机构主持，采购人、投标供应商和有关方面代表参加。所有投标供应商应派授权代表（到场的投标人如果是法定代表人则只查验身份证，若为委托代理人则查验其授权委托书原件及身份证）参加开标会，并签到，否则不得对开标过程及结果提出任何异议。</w:t>
            </w:r>
          </w:p>
        </w:tc>
      </w:tr>
      <w:tr w14:paraId="6F7B329C">
        <w:tblPrEx>
          <w:tblCellMar>
            <w:top w:w="0" w:type="dxa"/>
            <w:left w:w="0" w:type="dxa"/>
            <w:bottom w:w="0" w:type="dxa"/>
            <w:right w:w="0" w:type="dxa"/>
          </w:tblCellMar>
        </w:tblPrEx>
        <w:trPr>
          <w:trHeight w:val="1150" w:hRule="exact"/>
        </w:trPr>
        <w:tc>
          <w:tcPr>
            <w:tcW w:w="625" w:type="dxa"/>
            <w:tcBorders>
              <w:top w:val="single" w:color="auto" w:sz="4" w:space="0"/>
              <w:left w:val="single" w:color="000000" w:sz="4" w:space="0"/>
              <w:bottom w:val="single" w:color="auto" w:sz="4" w:space="0"/>
              <w:right w:val="single" w:color="000000" w:sz="4" w:space="0"/>
            </w:tcBorders>
            <w:shd w:val="clear" w:color="auto" w:fill="auto"/>
            <w:vAlign w:val="center"/>
          </w:tcPr>
          <w:p w14:paraId="34921E50">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eastAsia="zh-CN"/>
              </w:rPr>
            </w:pPr>
            <w:bookmarkStart w:id="189" w:name="_Toc22654"/>
            <w:r>
              <w:rPr>
                <w:rFonts w:hint="eastAsia" w:ascii="宋体" w:hAnsi="宋体" w:eastAsia="宋体" w:cs="宋体"/>
                <w:b w:val="0"/>
                <w:color w:val="auto"/>
                <w:sz w:val="24"/>
                <w:szCs w:val="24"/>
              </w:rPr>
              <w:t>3</w:t>
            </w:r>
            <w:bookmarkEnd w:id="189"/>
            <w:r>
              <w:rPr>
                <w:rFonts w:hint="eastAsia" w:ascii="宋体" w:eastAsia="宋体" w:cs="宋体"/>
                <w:b w:val="0"/>
                <w:color w:val="auto"/>
                <w:sz w:val="24"/>
                <w:szCs w:val="24"/>
                <w:lang w:val="en-US" w:eastAsia="zh-CN"/>
              </w:rPr>
              <w:t>0</w:t>
            </w:r>
          </w:p>
        </w:tc>
        <w:tc>
          <w:tcPr>
            <w:tcW w:w="1930" w:type="dxa"/>
            <w:tcBorders>
              <w:top w:val="single" w:color="auto" w:sz="4" w:space="0"/>
              <w:left w:val="single" w:color="000000" w:sz="4" w:space="0"/>
              <w:bottom w:val="single" w:color="auto" w:sz="4" w:space="0"/>
              <w:right w:val="single" w:color="000000" w:sz="4" w:space="0"/>
            </w:tcBorders>
            <w:shd w:val="clear" w:color="auto" w:fill="auto"/>
            <w:vAlign w:val="center"/>
          </w:tcPr>
          <w:p w14:paraId="32B591DB">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190" w:name="_Toc29648"/>
            <w:bookmarkStart w:id="191" w:name="_Toc2310"/>
            <w:bookmarkStart w:id="192" w:name="_Toc16585"/>
            <w:bookmarkStart w:id="193" w:name="_Toc18200"/>
            <w:r>
              <w:rPr>
                <w:rFonts w:hint="eastAsia" w:ascii="宋体" w:hAnsi="宋体" w:eastAsia="宋体" w:cs="宋体"/>
                <w:b w:val="0"/>
                <w:color w:val="auto"/>
                <w:sz w:val="24"/>
                <w:szCs w:val="24"/>
              </w:rPr>
              <w:t>评标委员会的组建</w:t>
            </w:r>
            <w:bookmarkEnd w:id="190"/>
            <w:bookmarkEnd w:id="191"/>
            <w:bookmarkEnd w:id="192"/>
            <w:bookmarkEnd w:id="193"/>
          </w:p>
        </w:tc>
        <w:tc>
          <w:tcPr>
            <w:tcW w:w="7665" w:type="dxa"/>
            <w:tcBorders>
              <w:top w:val="single" w:color="auto" w:sz="4" w:space="0"/>
              <w:left w:val="single" w:color="000000" w:sz="4" w:space="0"/>
              <w:bottom w:val="single" w:color="auto" w:sz="4" w:space="0"/>
              <w:right w:val="single" w:color="000000" w:sz="4" w:space="0"/>
            </w:tcBorders>
            <w:shd w:val="clear" w:color="auto" w:fill="auto"/>
            <w:vAlign w:val="center"/>
          </w:tcPr>
          <w:p w14:paraId="32E0CC0B">
            <w:pPr>
              <w:keepNext w:val="0"/>
              <w:keepLines w:val="0"/>
              <w:pageBreakBefore w:val="0"/>
              <w:kinsoku/>
              <w:wordWrap/>
              <w:overflowPunct/>
              <w:topLinePunct w:val="0"/>
              <w:bidi w:val="0"/>
              <w:spacing w:line="360" w:lineRule="exact"/>
              <w:jc w:val="left"/>
              <w:textAlignment w:val="auto"/>
              <w:rPr>
                <w:rFonts w:hint="eastAsia" w:ascii="宋体" w:hAnsi="宋体" w:eastAsia="宋体" w:cs="宋体"/>
                <w:b w:val="0"/>
                <w:color w:val="auto"/>
                <w:sz w:val="24"/>
                <w:szCs w:val="24"/>
              </w:rPr>
            </w:pPr>
            <w:bookmarkStart w:id="194" w:name="_Toc23616"/>
            <w:bookmarkStart w:id="195" w:name="_Toc4018"/>
            <w:r>
              <w:rPr>
                <w:rFonts w:hint="eastAsia" w:ascii="宋体" w:hAnsi="宋体" w:eastAsia="宋体" w:cs="宋体"/>
                <w:color w:val="auto"/>
                <w:kern w:val="0"/>
                <w:sz w:val="24"/>
                <w:szCs w:val="24"/>
                <w:lang w:bidi="ar"/>
              </w:rPr>
              <w:t>评标委员会构成：</w:t>
            </w:r>
            <w:bookmarkEnd w:id="194"/>
            <w:bookmarkEnd w:id="195"/>
            <w:r>
              <w:rPr>
                <w:rFonts w:hint="eastAsia" w:ascii="宋体" w:hAnsi="宋体" w:eastAsia="宋体" w:cs="宋体"/>
                <w:color w:val="auto"/>
                <w:kern w:val="0"/>
                <w:sz w:val="24"/>
                <w:szCs w:val="24"/>
                <w:lang w:bidi="ar"/>
              </w:rPr>
              <w:t>评标委员会由采购</w:t>
            </w:r>
            <w:r>
              <w:rPr>
                <w:rFonts w:hint="eastAsia" w:ascii="宋体" w:hAnsi="宋体" w:eastAsia="宋体" w:cs="宋体"/>
                <w:color w:val="auto"/>
                <w:kern w:val="0"/>
                <w:sz w:val="24"/>
                <w:szCs w:val="24"/>
                <w:lang w:val="en-US" w:eastAsia="zh-CN" w:bidi="ar"/>
              </w:rPr>
              <w:t>单位内部人员</w:t>
            </w:r>
            <w:r>
              <w:rPr>
                <w:rFonts w:hint="eastAsia" w:ascii="宋体" w:hAnsi="宋体" w:eastAsia="宋体" w:cs="宋体"/>
                <w:color w:val="auto"/>
                <w:kern w:val="0"/>
                <w:sz w:val="24"/>
                <w:szCs w:val="24"/>
                <w:lang w:bidi="ar"/>
              </w:rPr>
              <w:t>组成，</w:t>
            </w:r>
            <w:r>
              <w:rPr>
                <w:rFonts w:hint="eastAsia" w:ascii="宋体" w:hAnsi="宋体" w:eastAsia="宋体" w:cs="宋体"/>
                <w:color w:val="auto"/>
                <w:kern w:val="0"/>
                <w:sz w:val="24"/>
                <w:szCs w:val="24"/>
                <w:lang w:val="en-US" w:eastAsia="zh-CN" w:bidi="ar"/>
              </w:rPr>
              <w:t>共3人</w:t>
            </w:r>
            <w:r>
              <w:rPr>
                <w:rFonts w:hint="eastAsia" w:ascii="宋体" w:hAnsi="宋体" w:eastAsia="宋体" w:cs="宋体"/>
                <w:color w:val="auto"/>
                <w:kern w:val="0"/>
                <w:sz w:val="24"/>
                <w:szCs w:val="24"/>
                <w:lang w:bidi="ar"/>
              </w:rPr>
              <w:t>。</w:t>
            </w:r>
          </w:p>
        </w:tc>
      </w:tr>
      <w:tr w14:paraId="54383427">
        <w:tblPrEx>
          <w:tblCellMar>
            <w:top w:w="0" w:type="dxa"/>
            <w:left w:w="0" w:type="dxa"/>
            <w:bottom w:w="0" w:type="dxa"/>
            <w:right w:w="0" w:type="dxa"/>
          </w:tblCellMar>
        </w:tblPrEx>
        <w:trPr>
          <w:trHeight w:val="759" w:hRule="exact"/>
        </w:trPr>
        <w:tc>
          <w:tcPr>
            <w:tcW w:w="625" w:type="dxa"/>
            <w:tcBorders>
              <w:top w:val="single" w:color="auto" w:sz="4" w:space="0"/>
              <w:left w:val="single" w:color="000000" w:sz="4" w:space="0"/>
              <w:bottom w:val="single" w:color="auto" w:sz="4" w:space="0"/>
              <w:right w:val="single" w:color="000000" w:sz="4" w:space="0"/>
            </w:tcBorders>
            <w:shd w:val="clear" w:color="auto" w:fill="auto"/>
            <w:vAlign w:val="center"/>
          </w:tcPr>
          <w:p w14:paraId="51453ECC">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eastAsia="zh-CN"/>
              </w:rPr>
            </w:pPr>
            <w:bookmarkStart w:id="196" w:name="_Toc25166"/>
            <w:r>
              <w:rPr>
                <w:rFonts w:hint="eastAsia" w:ascii="宋体" w:hAnsi="宋体" w:eastAsia="宋体" w:cs="宋体"/>
                <w:b w:val="0"/>
                <w:color w:val="auto"/>
                <w:sz w:val="24"/>
                <w:szCs w:val="24"/>
              </w:rPr>
              <w:t>3</w:t>
            </w:r>
            <w:bookmarkEnd w:id="196"/>
            <w:r>
              <w:rPr>
                <w:rFonts w:hint="eastAsia" w:ascii="宋体" w:eastAsia="宋体" w:cs="宋体"/>
                <w:b w:val="0"/>
                <w:color w:val="auto"/>
                <w:sz w:val="24"/>
                <w:szCs w:val="24"/>
                <w:lang w:val="en-US" w:eastAsia="zh-CN"/>
              </w:rPr>
              <w:t>1</w:t>
            </w:r>
          </w:p>
        </w:tc>
        <w:tc>
          <w:tcPr>
            <w:tcW w:w="1930" w:type="dxa"/>
            <w:tcBorders>
              <w:top w:val="single" w:color="auto" w:sz="4" w:space="0"/>
              <w:left w:val="single" w:color="000000" w:sz="4" w:space="0"/>
              <w:bottom w:val="single" w:color="auto" w:sz="4" w:space="0"/>
              <w:right w:val="single" w:color="000000" w:sz="4" w:space="0"/>
            </w:tcBorders>
            <w:shd w:val="clear" w:color="auto" w:fill="auto"/>
            <w:vAlign w:val="center"/>
          </w:tcPr>
          <w:p w14:paraId="1EAA0C22">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197" w:name="_Toc26546"/>
            <w:bookmarkStart w:id="198" w:name="_Toc5049"/>
            <w:bookmarkStart w:id="199" w:name="_Toc20317"/>
            <w:bookmarkStart w:id="200" w:name="_Toc26722"/>
            <w:r>
              <w:rPr>
                <w:rFonts w:hint="eastAsia" w:ascii="宋体" w:hAnsi="宋体" w:eastAsia="宋体" w:cs="宋体"/>
                <w:b w:val="0"/>
                <w:color w:val="auto"/>
                <w:sz w:val="24"/>
                <w:szCs w:val="24"/>
              </w:rPr>
              <w:t>是否授权评标委员会确定</w:t>
            </w:r>
            <w:bookmarkEnd w:id="197"/>
            <w:bookmarkEnd w:id="198"/>
            <w:bookmarkEnd w:id="199"/>
            <w:r>
              <w:rPr>
                <w:rFonts w:hint="eastAsia" w:ascii="宋体" w:hAnsi="宋体" w:eastAsia="宋体" w:cs="宋体"/>
                <w:b w:val="0"/>
                <w:color w:val="auto"/>
                <w:sz w:val="24"/>
                <w:szCs w:val="24"/>
              </w:rPr>
              <w:t>成交供应商</w:t>
            </w:r>
            <w:bookmarkEnd w:id="200"/>
          </w:p>
        </w:tc>
        <w:tc>
          <w:tcPr>
            <w:tcW w:w="7665" w:type="dxa"/>
            <w:tcBorders>
              <w:top w:val="single" w:color="auto" w:sz="4" w:space="0"/>
              <w:left w:val="single" w:color="000000" w:sz="4" w:space="0"/>
              <w:bottom w:val="single" w:color="auto" w:sz="4" w:space="0"/>
              <w:right w:val="single" w:color="000000" w:sz="4" w:space="0"/>
            </w:tcBorders>
            <w:shd w:val="clear" w:color="auto" w:fill="auto"/>
            <w:vAlign w:val="center"/>
          </w:tcPr>
          <w:p w14:paraId="70B47A4F">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sz w:val="24"/>
                <w:szCs w:val="24"/>
              </w:rPr>
            </w:pPr>
            <w:bookmarkStart w:id="201" w:name="_Toc21612"/>
            <w:bookmarkStart w:id="202" w:name="_Toc26552"/>
            <w:bookmarkStart w:id="203" w:name="_Toc25195"/>
            <w:bookmarkStart w:id="204" w:name="_Toc21775"/>
            <w:r>
              <w:rPr>
                <w:rFonts w:hint="eastAsia" w:ascii="宋体" w:hAnsi="宋体" w:eastAsia="宋体" w:cs="宋体"/>
                <w:b w:val="0"/>
                <w:color w:val="auto"/>
                <w:sz w:val="24"/>
                <w:szCs w:val="24"/>
              </w:rPr>
              <w:t>是，授权确定中标（成交）候选人</w:t>
            </w:r>
            <w:bookmarkEnd w:id="201"/>
            <w:bookmarkEnd w:id="202"/>
            <w:r>
              <w:rPr>
                <w:rFonts w:hint="eastAsia" w:ascii="宋体" w:hAnsi="宋体" w:eastAsia="宋体" w:cs="宋体"/>
                <w:b w:val="0"/>
                <w:color w:val="auto"/>
                <w:sz w:val="24"/>
                <w:szCs w:val="24"/>
              </w:rPr>
              <w:t>为1名。</w:t>
            </w:r>
            <w:bookmarkEnd w:id="203"/>
            <w:bookmarkEnd w:id="204"/>
          </w:p>
        </w:tc>
      </w:tr>
      <w:tr w14:paraId="10162579">
        <w:tblPrEx>
          <w:tblCellMar>
            <w:top w:w="0" w:type="dxa"/>
            <w:left w:w="0" w:type="dxa"/>
            <w:bottom w:w="0" w:type="dxa"/>
            <w:right w:w="0" w:type="dxa"/>
          </w:tblCellMar>
        </w:tblPrEx>
        <w:trPr>
          <w:trHeight w:val="476" w:hRule="exact"/>
        </w:trPr>
        <w:tc>
          <w:tcPr>
            <w:tcW w:w="625" w:type="dxa"/>
            <w:tcBorders>
              <w:top w:val="single" w:color="auto" w:sz="4" w:space="0"/>
              <w:left w:val="single" w:color="000000" w:sz="4" w:space="0"/>
              <w:bottom w:val="single" w:color="auto" w:sz="4" w:space="0"/>
              <w:right w:val="single" w:color="000000" w:sz="4" w:space="0"/>
            </w:tcBorders>
            <w:shd w:val="clear" w:color="auto" w:fill="auto"/>
            <w:vAlign w:val="center"/>
          </w:tcPr>
          <w:p w14:paraId="1CD8F76B">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eastAsia="zh-CN"/>
              </w:rPr>
            </w:pPr>
            <w:bookmarkStart w:id="205" w:name="_Toc14461"/>
            <w:r>
              <w:rPr>
                <w:rFonts w:hint="eastAsia" w:ascii="宋体" w:hAnsi="宋体" w:eastAsia="宋体" w:cs="宋体"/>
                <w:b w:val="0"/>
                <w:color w:val="auto"/>
                <w:sz w:val="24"/>
                <w:szCs w:val="24"/>
              </w:rPr>
              <w:t>3</w:t>
            </w:r>
            <w:bookmarkEnd w:id="205"/>
            <w:r>
              <w:rPr>
                <w:rFonts w:hint="eastAsia" w:ascii="宋体" w:eastAsia="宋体" w:cs="宋体"/>
                <w:b w:val="0"/>
                <w:color w:val="auto"/>
                <w:sz w:val="24"/>
                <w:szCs w:val="24"/>
                <w:lang w:val="en-US" w:eastAsia="zh-CN"/>
              </w:rPr>
              <w:t>2</w:t>
            </w:r>
          </w:p>
        </w:tc>
        <w:tc>
          <w:tcPr>
            <w:tcW w:w="1930" w:type="dxa"/>
            <w:tcBorders>
              <w:top w:val="single" w:color="auto" w:sz="4" w:space="0"/>
              <w:left w:val="single" w:color="000000" w:sz="4" w:space="0"/>
              <w:bottom w:val="single" w:color="auto" w:sz="4" w:space="0"/>
              <w:right w:val="single" w:color="000000" w:sz="4" w:space="0"/>
            </w:tcBorders>
            <w:shd w:val="clear" w:color="auto" w:fill="auto"/>
            <w:vAlign w:val="center"/>
          </w:tcPr>
          <w:p w14:paraId="79CE135E">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206" w:name="_Toc28050"/>
            <w:bookmarkStart w:id="207" w:name="_Toc27577"/>
            <w:bookmarkStart w:id="208" w:name="_Toc27244"/>
            <w:bookmarkStart w:id="209" w:name="_Toc18027"/>
            <w:r>
              <w:rPr>
                <w:rFonts w:hint="eastAsia" w:ascii="宋体" w:hAnsi="宋体" w:eastAsia="宋体" w:cs="宋体"/>
                <w:b w:val="0"/>
                <w:color w:val="auto"/>
                <w:sz w:val="24"/>
                <w:szCs w:val="24"/>
              </w:rPr>
              <w:t>履约担保</w:t>
            </w:r>
            <w:bookmarkEnd w:id="206"/>
            <w:bookmarkEnd w:id="207"/>
            <w:bookmarkEnd w:id="208"/>
            <w:bookmarkEnd w:id="209"/>
          </w:p>
        </w:tc>
        <w:tc>
          <w:tcPr>
            <w:tcW w:w="7665" w:type="dxa"/>
            <w:tcBorders>
              <w:top w:val="single" w:color="auto" w:sz="4" w:space="0"/>
              <w:left w:val="single" w:color="000000" w:sz="4" w:space="0"/>
              <w:bottom w:val="single" w:color="auto" w:sz="4" w:space="0"/>
              <w:right w:val="single" w:color="000000" w:sz="4" w:space="0"/>
            </w:tcBorders>
            <w:shd w:val="clear" w:color="auto" w:fill="auto"/>
            <w:vAlign w:val="center"/>
          </w:tcPr>
          <w:p w14:paraId="3D5EBA8F">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b w:val="0"/>
                <w:bCs w:val="0"/>
                <w:color w:val="auto"/>
                <w:kern w:val="2"/>
                <w:sz w:val="24"/>
                <w:szCs w:val="24"/>
                <w:highlight w:val="white"/>
                <w:lang w:eastAsia="zh-CN"/>
              </w:rPr>
              <w:t>无</w:t>
            </w:r>
          </w:p>
        </w:tc>
      </w:tr>
      <w:tr w14:paraId="7CA01B5F">
        <w:tblPrEx>
          <w:tblCellMar>
            <w:top w:w="0" w:type="dxa"/>
            <w:left w:w="0" w:type="dxa"/>
            <w:bottom w:w="0" w:type="dxa"/>
            <w:right w:w="0" w:type="dxa"/>
          </w:tblCellMar>
        </w:tblPrEx>
        <w:trPr>
          <w:trHeight w:val="515" w:hRule="exact"/>
        </w:trPr>
        <w:tc>
          <w:tcPr>
            <w:tcW w:w="625" w:type="dxa"/>
            <w:tcBorders>
              <w:top w:val="single" w:color="auto" w:sz="4" w:space="0"/>
              <w:left w:val="single" w:color="000000" w:sz="4" w:space="0"/>
              <w:bottom w:val="single" w:color="auto" w:sz="4" w:space="0"/>
              <w:right w:val="single" w:color="000000" w:sz="4" w:space="0"/>
            </w:tcBorders>
            <w:shd w:val="clear" w:color="auto" w:fill="auto"/>
            <w:vAlign w:val="center"/>
          </w:tcPr>
          <w:p w14:paraId="701E8438">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rPr>
              <w:t>3</w:t>
            </w:r>
            <w:r>
              <w:rPr>
                <w:rFonts w:hint="eastAsia" w:ascii="宋体" w:eastAsia="宋体" w:cs="宋体"/>
                <w:b w:val="0"/>
                <w:color w:val="auto"/>
                <w:sz w:val="24"/>
                <w:szCs w:val="24"/>
                <w:lang w:val="en-US" w:eastAsia="zh-CN"/>
              </w:rPr>
              <w:t>3</w:t>
            </w:r>
          </w:p>
        </w:tc>
        <w:tc>
          <w:tcPr>
            <w:tcW w:w="1930" w:type="dxa"/>
            <w:tcBorders>
              <w:top w:val="single" w:color="auto" w:sz="4" w:space="0"/>
              <w:left w:val="single" w:color="000000" w:sz="4" w:space="0"/>
              <w:bottom w:val="single" w:color="auto" w:sz="4" w:space="0"/>
              <w:right w:val="single" w:color="000000" w:sz="4" w:space="0"/>
            </w:tcBorders>
            <w:shd w:val="clear" w:color="auto" w:fill="auto"/>
            <w:vAlign w:val="center"/>
          </w:tcPr>
          <w:p w14:paraId="6E612B10">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最高投标限价</w:t>
            </w:r>
          </w:p>
        </w:tc>
        <w:tc>
          <w:tcPr>
            <w:tcW w:w="7665" w:type="dxa"/>
            <w:tcBorders>
              <w:top w:val="single" w:color="auto" w:sz="4" w:space="0"/>
              <w:left w:val="single" w:color="000000" w:sz="4" w:space="0"/>
              <w:bottom w:val="single" w:color="auto" w:sz="4" w:space="0"/>
              <w:right w:val="single" w:color="000000" w:sz="4" w:space="0"/>
            </w:tcBorders>
            <w:shd w:val="clear" w:color="auto" w:fill="auto"/>
            <w:vAlign w:val="center"/>
          </w:tcPr>
          <w:p w14:paraId="489FEAC2">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sz w:val="24"/>
                <w:szCs w:val="24"/>
              </w:rPr>
            </w:pPr>
            <w:r>
              <w:rPr>
                <w:rFonts w:hint="eastAsia" w:ascii="宋体" w:eastAsia="宋体" w:cs="宋体"/>
                <w:b w:val="0"/>
                <w:color w:val="auto"/>
                <w:sz w:val="24"/>
                <w:szCs w:val="24"/>
                <w:lang w:val="en-US" w:eastAsia="zh-CN"/>
              </w:rPr>
              <w:t>8</w:t>
            </w:r>
            <w:r>
              <w:rPr>
                <w:rFonts w:hint="eastAsia" w:ascii="宋体" w:hAnsi="宋体" w:eastAsia="宋体" w:cs="宋体"/>
                <w:b w:val="0"/>
                <w:color w:val="auto"/>
                <w:sz w:val="24"/>
                <w:szCs w:val="24"/>
                <w:lang w:eastAsia="zh-CN"/>
              </w:rPr>
              <w:t>0000</w:t>
            </w:r>
            <w:r>
              <w:rPr>
                <w:rFonts w:hint="eastAsia" w:ascii="宋体" w:hAnsi="宋体" w:eastAsia="宋体" w:cs="宋体"/>
                <w:b w:val="0"/>
                <w:color w:val="auto"/>
                <w:sz w:val="24"/>
                <w:szCs w:val="24"/>
              </w:rPr>
              <w:t>元（超过此报价按废标处理）</w:t>
            </w:r>
          </w:p>
        </w:tc>
      </w:tr>
      <w:tr w14:paraId="5CD7DF1F">
        <w:tblPrEx>
          <w:tblCellMar>
            <w:top w:w="0" w:type="dxa"/>
            <w:left w:w="0" w:type="dxa"/>
            <w:bottom w:w="0" w:type="dxa"/>
            <w:right w:w="0" w:type="dxa"/>
          </w:tblCellMar>
        </w:tblPrEx>
        <w:trPr>
          <w:trHeight w:val="581" w:hRule="exact"/>
        </w:trPr>
        <w:tc>
          <w:tcPr>
            <w:tcW w:w="625" w:type="dxa"/>
            <w:tcBorders>
              <w:top w:val="single" w:color="auto" w:sz="4" w:space="0"/>
              <w:left w:val="single" w:color="000000" w:sz="4" w:space="0"/>
              <w:bottom w:val="single" w:color="auto" w:sz="4" w:space="0"/>
              <w:right w:val="single" w:color="000000" w:sz="4" w:space="0"/>
            </w:tcBorders>
            <w:shd w:val="clear" w:color="auto" w:fill="auto"/>
            <w:vAlign w:val="center"/>
          </w:tcPr>
          <w:p w14:paraId="57E2B603">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rPr>
              <w:t>3</w:t>
            </w:r>
            <w:r>
              <w:rPr>
                <w:rFonts w:hint="eastAsia" w:ascii="宋体" w:eastAsia="宋体" w:cs="宋体"/>
                <w:b w:val="0"/>
                <w:color w:val="auto"/>
                <w:sz w:val="24"/>
                <w:szCs w:val="24"/>
                <w:lang w:val="en-US" w:eastAsia="zh-CN"/>
              </w:rPr>
              <w:t>4</w:t>
            </w:r>
          </w:p>
        </w:tc>
        <w:tc>
          <w:tcPr>
            <w:tcW w:w="1930" w:type="dxa"/>
            <w:tcBorders>
              <w:top w:val="single" w:color="auto" w:sz="4" w:space="0"/>
              <w:left w:val="single" w:color="000000" w:sz="4" w:space="0"/>
              <w:bottom w:val="single" w:color="auto" w:sz="4" w:space="0"/>
              <w:right w:val="single" w:color="000000" w:sz="4" w:space="0"/>
            </w:tcBorders>
            <w:shd w:val="clear" w:color="auto" w:fill="auto"/>
            <w:vAlign w:val="center"/>
          </w:tcPr>
          <w:p w14:paraId="5DD6DB80">
            <w:pPr>
              <w:pStyle w:val="8"/>
              <w:keepNext w:val="0"/>
              <w:keepLines w:val="0"/>
              <w:pageBreakBefore w:val="0"/>
              <w:widowControl/>
              <w:kinsoku/>
              <w:wordWrap/>
              <w:overflowPunct/>
              <w:topLinePunct w:val="0"/>
              <w:bidi w:val="0"/>
              <w:spacing w:line="360" w:lineRule="exact"/>
              <w:ind w:firstLine="480" w:firstLineChars="2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付款方式</w:t>
            </w:r>
          </w:p>
        </w:tc>
        <w:tc>
          <w:tcPr>
            <w:tcW w:w="7665" w:type="dxa"/>
            <w:tcBorders>
              <w:top w:val="single" w:color="auto" w:sz="4" w:space="0"/>
              <w:left w:val="single" w:color="000000" w:sz="4" w:space="0"/>
              <w:bottom w:val="single" w:color="auto" w:sz="4" w:space="0"/>
              <w:right w:val="single" w:color="000000" w:sz="4" w:space="0"/>
            </w:tcBorders>
            <w:shd w:val="clear" w:color="auto" w:fill="auto"/>
            <w:vAlign w:val="center"/>
          </w:tcPr>
          <w:p w14:paraId="6CC6973C">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bCs/>
                <w:color w:val="auto"/>
                <w:sz w:val="24"/>
                <w:szCs w:val="24"/>
              </w:rPr>
              <w:t>合同签订后，</w:t>
            </w:r>
            <w:r>
              <w:rPr>
                <w:rFonts w:hint="eastAsia" w:ascii="宋体" w:hAnsi="宋体" w:eastAsia="宋体" w:cs="宋体"/>
                <w:b w:val="0"/>
                <w:bCs w:val="0"/>
                <w:color w:val="auto"/>
                <w:sz w:val="24"/>
                <w:lang w:bidi="ar"/>
              </w:rPr>
              <w:t>预付10%合同价款</w:t>
            </w:r>
            <w:r>
              <w:rPr>
                <w:rFonts w:hint="eastAsia" w:ascii="宋体" w:eastAsia="宋体" w:cs="宋体"/>
                <w:b w:val="0"/>
                <w:bCs w:val="0"/>
                <w:color w:val="auto"/>
                <w:sz w:val="24"/>
                <w:lang w:eastAsia="zh-CN" w:bidi="ar"/>
              </w:rPr>
              <w:t>，</w:t>
            </w:r>
            <w:r>
              <w:rPr>
                <w:rFonts w:hint="eastAsia" w:ascii="宋体" w:hAnsi="宋体" w:eastAsia="宋体" w:cs="宋体"/>
                <w:b w:val="0"/>
                <w:bCs/>
                <w:color w:val="auto"/>
                <w:sz w:val="24"/>
                <w:szCs w:val="24"/>
              </w:rPr>
              <w:t>按期服务，</w:t>
            </w:r>
            <w:r>
              <w:rPr>
                <w:rFonts w:hint="eastAsia" w:ascii="宋体" w:hAnsi="宋体" w:eastAsia="宋体" w:cs="宋体"/>
                <w:b w:val="0"/>
                <w:bCs/>
                <w:color w:val="auto"/>
                <w:sz w:val="24"/>
                <w:szCs w:val="24"/>
                <w:lang w:eastAsia="zh-CN"/>
              </w:rPr>
              <w:t>验收合格，付合同价款</w:t>
            </w:r>
            <w:r>
              <w:rPr>
                <w:rFonts w:hint="eastAsia" w:ascii="宋体" w:eastAsia="宋体" w:cs="宋体"/>
                <w:b w:val="0"/>
                <w:bCs/>
                <w:color w:val="auto"/>
                <w:sz w:val="24"/>
                <w:szCs w:val="24"/>
                <w:lang w:val="en-US" w:eastAsia="zh-CN"/>
              </w:rPr>
              <w:t>9</w:t>
            </w:r>
            <w:r>
              <w:rPr>
                <w:rFonts w:hint="eastAsia" w:ascii="宋体" w:hAnsi="宋体" w:eastAsia="宋体" w:cs="宋体"/>
                <w:b w:val="0"/>
                <w:bCs/>
                <w:color w:val="auto"/>
                <w:sz w:val="24"/>
                <w:szCs w:val="24"/>
                <w:lang w:val="en-US" w:eastAsia="zh-CN"/>
              </w:rPr>
              <w:t>0%</w:t>
            </w:r>
            <w:r>
              <w:rPr>
                <w:rFonts w:hint="eastAsia" w:ascii="宋体" w:eastAsia="宋体" w:cs="宋体"/>
                <w:b w:val="0"/>
                <w:bCs/>
                <w:color w:val="auto"/>
                <w:sz w:val="24"/>
                <w:szCs w:val="24"/>
                <w:lang w:val="en-US" w:eastAsia="zh-CN"/>
              </w:rPr>
              <w:t>。</w:t>
            </w:r>
          </w:p>
        </w:tc>
      </w:tr>
      <w:tr w14:paraId="1435E270">
        <w:tblPrEx>
          <w:tblCellMar>
            <w:top w:w="0" w:type="dxa"/>
            <w:left w:w="0" w:type="dxa"/>
            <w:bottom w:w="0" w:type="dxa"/>
            <w:right w:w="0" w:type="dxa"/>
          </w:tblCellMar>
        </w:tblPrEx>
        <w:trPr>
          <w:trHeight w:val="6111" w:hRule="exact"/>
        </w:trPr>
        <w:tc>
          <w:tcPr>
            <w:tcW w:w="625" w:type="dxa"/>
            <w:tcBorders>
              <w:top w:val="single" w:color="auto" w:sz="4" w:space="0"/>
              <w:left w:val="single" w:color="000000" w:sz="4" w:space="0"/>
              <w:bottom w:val="single" w:color="auto" w:sz="4" w:space="0"/>
              <w:right w:val="single" w:color="000000" w:sz="4" w:space="0"/>
            </w:tcBorders>
            <w:shd w:val="clear" w:color="auto" w:fill="auto"/>
            <w:vAlign w:val="center"/>
          </w:tcPr>
          <w:p w14:paraId="0DE3798B">
            <w:pPr>
              <w:pStyle w:val="8"/>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rPr>
              <w:t>3</w:t>
            </w:r>
            <w:r>
              <w:rPr>
                <w:rFonts w:hint="eastAsia" w:ascii="宋体" w:eastAsia="宋体" w:cs="宋体"/>
                <w:b w:val="0"/>
                <w:color w:val="auto"/>
                <w:sz w:val="24"/>
                <w:szCs w:val="24"/>
                <w:lang w:val="en-US" w:eastAsia="zh-CN"/>
              </w:rPr>
              <w:t>5</w:t>
            </w:r>
          </w:p>
        </w:tc>
        <w:tc>
          <w:tcPr>
            <w:tcW w:w="1930" w:type="dxa"/>
            <w:tcBorders>
              <w:top w:val="single" w:color="auto" w:sz="4" w:space="0"/>
              <w:left w:val="single" w:color="000000" w:sz="4" w:space="0"/>
              <w:bottom w:val="single" w:color="auto" w:sz="4" w:space="0"/>
              <w:right w:val="single" w:color="000000" w:sz="4" w:space="0"/>
            </w:tcBorders>
            <w:shd w:val="clear" w:color="auto" w:fill="auto"/>
            <w:vAlign w:val="center"/>
          </w:tcPr>
          <w:p w14:paraId="7EADF9A3">
            <w:pPr>
              <w:keepNext w:val="0"/>
              <w:keepLines w:val="0"/>
              <w:pageBreakBefore w:val="0"/>
              <w:widowControl/>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对中小企业的价格扣除标准</w:t>
            </w:r>
          </w:p>
        </w:tc>
        <w:tc>
          <w:tcPr>
            <w:tcW w:w="7665" w:type="dxa"/>
            <w:tcBorders>
              <w:top w:val="single" w:color="auto" w:sz="4" w:space="0"/>
              <w:left w:val="single" w:color="000000" w:sz="4" w:space="0"/>
              <w:bottom w:val="single" w:color="auto" w:sz="4" w:space="0"/>
              <w:right w:val="single" w:color="000000" w:sz="4" w:space="0"/>
            </w:tcBorders>
            <w:shd w:val="clear" w:color="auto" w:fill="auto"/>
            <w:vAlign w:val="center"/>
          </w:tcPr>
          <w:p w14:paraId="7BA7B7BC">
            <w:pPr>
              <w:keepNext w:val="0"/>
              <w:keepLines w:val="0"/>
              <w:pageBreakBefore w:val="0"/>
              <w:widowControl/>
              <w:shd w:val="clear" w:color="auto" w:fill="FFFFFF"/>
              <w:kinsoku/>
              <w:wordWrap/>
              <w:overflowPunct/>
              <w:topLinePunct w:val="0"/>
              <w:bidi w:val="0"/>
              <w:spacing w:line="360" w:lineRule="exact"/>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根据《政府采购促进中小企业发展管理办法》</w:t>
            </w:r>
            <w:r>
              <w:rPr>
                <w:rFonts w:hint="eastAsia" w:ascii="宋体" w:hAnsi="宋体" w:eastAsia="宋体" w:cs="宋体"/>
                <w:color w:val="auto"/>
                <w:spacing w:val="8"/>
                <w:kern w:val="0"/>
                <w:sz w:val="24"/>
                <w:szCs w:val="24"/>
              </w:rPr>
              <w:t>财库〔2020〕46号</w:t>
            </w:r>
            <w:r>
              <w:rPr>
                <w:rFonts w:hint="eastAsia" w:ascii="宋体" w:hAnsi="宋体" w:eastAsia="宋体" w:cs="宋体"/>
                <w:color w:val="auto"/>
                <w:sz w:val="24"/>
                <w:szCs w:val="24"/>
              </w:rPr>
              <w:t>规定</w:t>
            </w:r>
            <w:r>
              <w:rPr>
                <w:rFonts w:hint="eastAsia" w:ascii="宋体" w:hAnsi="宋体" w:eastAsia="宋体" w:cs="宋体"/>
                <w:bCs/>
                <w:color w:val="auto"/>
                <w:sz w:val="24"/>
                <w:szCs w:val="24"/>
              </w:rPr>
              <w:t>，对与中小企业以及被认定为中小企业的监狱企业、残疾人福利单位，执行以下规定：中小企业认定标准：根据工业和信息化部、国家统计局、国家发展和改革委员会、财政部《关于印发中小企业划型标准规定的通知》（工信部联企业〔2011〕300号），依据采购项目最密切相关行业分类标准认定供应商是否为小微企业。其中监狱企业执行财政部司法部文件《关于政府采购支持监狱企业发展有关问题的通知》(财库〔2014〕68号)，残疾人福利单位执行财政部财库〔2017〕141号。</w:t>
            </w:r>
          </w:p>
          <w:p w14:paraId="39E7BE33">
            <w:pPr>
              <w:keepNext w:val="0"/>
              <w:keepLines w:val="0"/>
              <w:pageBreakBefore w:val="0"/>
              <w:widowControl/>
              <w:kinsoku/>
              <w:wordWrap/>
              <w:overflowPunct/>
              <w:topLinePunct w:val="0"/>
              <w:bidi w:val="0"/>
              <w:snapToGrid w:val="0"/>
              <w:spacing w:line="360" w:lineRule="exact"/>
              <w:jc w:val="left"/>
              <w:textAlignment w:val="auto"/>
              <w:rPr>
                <w:rFonts w:hint="eastAsia" w:ascii="宋体" w:hAnsi="宋体" w:eastAsia="宋体" w:cs="宋体"/>
                <w:bCs/>
                <w:color w:val="auto"/>
                <w:spacing w:val="8"/>
                <w:kern w:val="0"/>
                <w:sz w:val="24"/>
                <w:szCs w:val="24"/>
              </w:rPr>
            </w:pPr>
            <w:r>
              <w:rPr>
                <w:rFonts w:hint="eastAsia" w:ascii="宋体" w:hAnsi="宋体" w:eastAsia="宋体" w:cs="宋体"/>
                <w:bCs/>
                <w:color w:val="auto"/>
                <w:sz w:val="24"/>
                <w:szCs w:val="24"/>
              </w:rPr>
              <w:t>价格扣除标准：</w:t>
            </w:r>
            <w:r>
              <w:rPr>
                <w:rFonts w:hint="eastAsia" w:ascii="宋体" w:hAnsi="宋体" w:eastAsia="宋体" w:cs="宋体"/>
                <w:bCs/>
                <w:color w:val="auto"/>
                <w:spacing w:val="8"/>
                <w:kern w:val="0"/>
                <w:sz w:val="24"/>
                <w:szCs w:val="24"/>
              </w:rPr>
              <w:t>评审时给予小微企业报价6% 的价格扣除。</w:t>
            </w:r>
          </w:p>
          <w:p w14:paraId="30C7DE2C">
            <w:pPr>
              <w:keepNext w:val="0"/>
              <w:keepLines w:val="0"/>
              <w:pageBreakBefore w:val="0"/>
              <w:widowControl/>
              <w:kinsoku/>
              <w:wordWrap/>
              <w:overflowPunct/>
              <w:topLinePunct w:val="0"/>
              <w:bidi w:val="0"/>
              <w:snapToGrid w:val="0"/>
              <w:spacing w:line="360" w:lineRule="exact"/>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注：1.价格扣除举例说明：某残疾人福利单位符合财库〔2017〕141号规定的政策支持单位，属于小微企业，其投标报价为100万元，“扣除后的价格”为：100万元-100万元×扣除比例，用扣除后的价格参与评审。 </w:t>
            </w:r>
          </w:p>
          <w:p w14:paraId="2010826C">
            <w:pPr>
              <w:keepNext w:val="0"/>
              <w:keepLines w:val="0"/>
              <w:pageBreakBefore w:val="0"/>
              <w:widowControl/>
              <w:numPr>
                <w:ilvl w:val="0"/>
                <w:numId w:val="1"/>
              </w:numPr>
              <w:kinsoku/>
              <w:wordWrap/>
              <w:overflowPunct/>
              <w:topLinePunct w:val="0"/>
              <w:bidi w:val="0"/>
              <w:snapToGrid w:val="0"/>
              <w:spacing w:line="360" w:lineRule="exact"/>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本项目将对中标人提供的小企业产品品名及生产厂家，随评审结果一并公布。如提供虚假材料，将取消中标资格并报相关部门按有关规定处理，并计入不良记录。</w:t>
            </w:r>
          </w:p>
          <w:p w14:paraId="154C30F1">
            <w:pPr>
              <w:keepNext w:val="0"/>
              <w:keepLines w:val="0"/>
              <w:pageBreakBefore w:val="0"/>
              <w:widowControl/>
              <w:numPr>
                <w:ilvl w:val="0"/>
                <w:numId w:val="1"/>
              </w:numPr>
              <w:kinsoku/>
              <w:wordWrap/>
              <w:overflowPunct/>
              <w:topLinePunct w:val="0"/>
              <w:bidi w:val="0"/>
              <w:snapToGrid w:val="0"/>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当投标人是贸易/代理商，则必须同时提供小企业的产品或服务才能享受优惠政策。</w:t>
            </w:r>
          </w:p>
        </w:tc>
      </w:tr>
      <w:tr w14:paraId="1E6E8375">
        <w:tblPrEx>
          <w:tblCellMar>
            <w:top w:w="0" w:type="dxa"/>
            <w:left w:w="0" w:type="dxa"/>
            <w:bottom w:w="0" w:type="dxa"/>
            <w:right w:w="0" w:type="dxa"/>
          </w:tblCellMar>
        </w:tblPrEx>
        <w:trPr>
          <w:trHeight w:val="4750" w:hRule="exact"/>
        </w:trPr>
        <w:tc>
          <w:tcPr>
            <w:tcW w:w="625" w:type="dxa"/>
            <w:tcBorders>
              <w:top w:val="single" w:color="auto" w:sz="4" w:space="0"/>
              <w:left w:val="single" w:color="000000" w:sz="4" w:space="0"/>
              <w:bottom w:val="single" w:color="auto" w:sz="4" w:space="0"/>
              <w:right w:val="single" w:color="000000" w:sz="4" w:space="0"/>
            </w:tcBorders>
            <w:shd w:val="clear" w:color="auto" w:fill="auto"/>
            <w:vAlign w:val="center"/>
          </w:tcPr>
          <w:p w14:paraId="7E6FB809">
            <w:pPr>
              <w:pStyle w:val="8"/>
              <w:keepNext w:val="0"/>
              <w:keepLines w:val="0"/>
              <w:pageBreakBefore w:val="0"/>
              <w:widowControl/>
              <w:kinsoku/>
              <w:wordWrap/>
              <w:overflowPunct/>
              <w:topLinePunct w:val="0"/>
              <w:bidi w:val="0"/>
              <w:spacing w:line="360" w:lineRule="exact"/>
              <w:ind w:firstLine="240" w:firstLineChars="100"/>
              <w:jc w:val="both"/>
              <w:textAlignment w:val="auto"/>
              <w:rPr>
                <w:rFonts w:hint="eastAsia" w:ascii="宋体" w:hAnsi="宋体" w:eastAsia="宋体" w:cs="宋体"/>
                <w:b w:val="0"/>
                <w:color w:val="auto"/>
                <w:sz w:val="24"/>
                <w:szCs w:val="24"/>
                <w:lang w:eastAsia="zh-CN"/>
              </w:rPr>
            </w:pPr>
            <w:bookmarkStart w:id="210" w:name="_Toc10206"/>
            <w:r>
              <w:rPr>
                <w:rFonts w:hint="eastAsia" w:ascii="宋体" w:hAnsi="宋体" w:eastAsia="宋体" w:cs="宋体"/>
                <w:b w:val="0"/>
                <w:color w:val="auto"/>
                <w:sz w:val="24"/>
                <w:szCs w:val="24"/>
              </w:rPr>
              <w:t>3</w:t>
            </w:r>
            <w:bookmarkEnd w:id="210"/>
            <w:r>
              <w:rPr>
                <w:rFonts w:hint="eastAsia" w:ascii="宋体" w:eastAsia="宋体" w:cs="宋体"/>
                <w:b w:val="0"/>
                <w:color w:val="auto"/>
                <w:sz w:val="24"/>
                <w:szCs w:val="24"/>
                <w:lang w:val="en-US" w:eastAsia="zh-CN"/>
              </w:rPr>
              <w:t>6</w:t>
            </w:r>
          </w:p>
        </w:tc>
        <w:tc>
          <w:tcPr>
            <w:tcW w:w="1930" w:type="dxa"/>
            <w:tcBorders>
              <w:top w:val="single" w:color="auto" w:sz="4" w:space="0"/>
              <w:left w:val="single" w:color="000000" w:sz="4" w:space="0"/>
              <w:bottom w:val="single" w:color="auto" w:sz="4" w:space="0"/>
              <w:right w:val="single" w:color="000000" w:sz="4" w:space="0"/>
            </w:tcBorders>
            <w:shd w:val="clear" w:color="auto" w:fill="auto"/>
            <w:vAlign w:val="center"/>
          </w:tcPr>
          <w:p w14:paraId="191423C7">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sz w:val="24"/>
                <w:szCs w:val="24"/>
              </w:rPr>
            </w:pPr>
          </w:p>
          <w:p w14:paraId="3B657D88">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sz w:val="24"/>
                <w:szCs w:val="24"/>
              </w:rPr>
            </w:pPr>
          </w:p>
          <w:p w14:paraId="1C6731CF">
            <w:pPr>
              <w:pStyle w:val="8"/>
              <w:keepNext w:val="0"/>
              <w:keepLines w:val="0"/>
              <w:pageBreakBefore w:val="0"/>
              <w:widowControl/>
              <w:kinsoku/>
              <w:wordWrap/>
              <w:overflowPunct/>
              <w:topLinePunct w:val="0"/>
              <w:bidi w:val="0"/>
              <w:spacing w:line="360" w:lineRule="exact"/>
              <w:ind w:firstLine="480" w:firstLineChars="200"/>
              <w:jc w:val="both"/>
              <w:textAlignment w:val="auto"/>
              <w:rPr>
                <w:rFonts w:hint="eastAsia" w:ascii="宋体" w:hAnsi="宋体" w:eastAsia="宋体" w:cs="宋体"/>
                <w:b w:val="0"/>
                <w:color w:val="auto"/>
                <w:sz w:val="24"/>
                <w:szCs w:val="24"/>
              </w:rPr>
            </w:pPr>
            <w:bookmarkStart w:id="211" w:name="_Toc24196"/>
            <w:bookmarkStart w:id="212" w:name="_Toc19733"/>
            <w:bookmarkStart w:id="213" w:name="_Toc542"/>
            <w:bookmarkStart w:id="214" w:name="_Toc11184"/>
            <w:r>
              <w:rPr>
                <w:rFonts w:hint="eastAsia" w:ascii="宋体" w:hAnsi="宋体" w:eastAsia="宋体" w:cs="宋体"/>
                <w:b w:val="0"/>
                <w:color w:val="auto"/>
                <w:sz w:val="24"/>
                <w:szCs w:val="24"/>
              </w:rPr>
              <w:t>其他要求</w:t>
            </w:r>
            <w:bookmarkEnd w:id="211"/>
            <w:bookmarkEnd w:id="212"/>
            <w:bookmarkEnd w:id="213"/>
            <w:bookmarkEnd w:id="214"/>
          </w:p>
          <w:p w14:paraId="08C9443D">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sz w:val="24"/>
                <w:szCs w:val="24"/>
              </w:rPr>
            </w:pPr>
          </w:p>
          <w:p w14:paraId="62A0805E">
            <w:pPr>
              <w:pStyle w:val="8"/>
              <w:keepNext w:val="0"/>
              <w:keepLines w:val="0"/>
              <w:pageBreakBefore w:val="0"/>
              <w:widowControl/>
              <w:kinsoku/>
              <w:wordWrap/>
              <w:overflowPunct/>
              <w:topLinePunct w:val="0"/>
              <w:bidi w:val="0"/>
              <w:spacing w:line="360" w:lineRule="exact"/>
              <w:jc w:val="both"/>
              <w:textAlignment w:val="auto"/>
              <w:rPr>
                <w:rFonts w:hint="eastAsia" w:ascii="宋体" w:hAnsi="宋体" w:eastAsia="宋体" w:cs="宋体"/>
                <w:b w:val="0"/>
                <w:color w:val="auto"/>
                <w:sz w:val="24"/>
                <w:szCs w:val="24"/>
              </w:rPr>
            </w:pPr>
          </w:p>
        </w:tc>
        <w:tc>
          <w:tcPr>
            <w:tcW w:w="7665" w:type="dxa"/>
            <w:tcBorders>
              <w:top w:val="single" w:color="auto" w:sz="4" w:space="0"/>
              <w:left w:val="single" w:color="000000" w:sz="4" w:space="0"/>
              <w:bottom w:val="single" w:color="auto" w:sz="4" w:space="0"/>
              <w:right w:val="single" w:color="000000" w:sz="4" w:space="0"/>
            </w:tcBorders>
            <w:shd w:val="clear" w:color="auto" w:fill="auto"/>
            <w:vAlign w:val="center"/>
          </w:tcPr>
          <w:p w14:paraId="55142B10">
            <w:pPr>
              <w:keepNext w:val="0"/>
              <w:keepLines w:val="0"/>
              <w:pageBreakBefore w:val="0"/>
              <w:kinsoku/>
              <w:wordWrap/>
              <w:overflowPunct/>
              <w:topLinePunct w:val="0"/>
              <w:bidi w:val="0"/>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1、成交供应商应在中标（成交）通知书发出之日起十日内（具体时间、地点见中标通知书）与采购人签订合同。</w:t>
            </w:r>
          </w:p>
          <w:p w14:paraId="2F855193">
            <w:pPr>
              <w:keepNext w:val="0"/>
              <w:keepLines w:val="0"/>
              <w:pageBreakBefore w:val="0"/>
              <w:kinsoku/>
              <w:wordWrap/>
              <w:overflowPunct/>
              <w:topLinePunct w:val="0"/>
              <w:bidi w:val="0"/>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2、磋商文件的解释权归采购人所有，由采购人负责解释。</w:t>
            </w:r>
            <w:r>
              <w:rPr>
                <w:rFonts w:hint="eastAsia" w:ascii="宋体" w:hAnsi="宋体" w:eastAsia="宋体" w:cs="宋体"/>
                <w:color w:val="auto"/>
                <w:sz w:val="24"/>
                <w:szCs w:val="24"/>
              </w:rPr>
              <w:tab/>
            </w:r>
          </w:p>
          <w:p w14:paraId="2B06B0B7">
            <w:pPr>
              <w:keepNext w:val="0"/>
              <w:keepLines w:val="0"/>
              <w:pageBreakBefore w:val="0"/>
              <w:kinsoku/>
              <w:wordWrap/>
              <w:overflowPunct/>
              <w:topLinePunct w:val="0"/>
              <w:bidi w:val="0"/>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3、如磋商文件中出现前后不一致的描述，解释优先顺序依次为供应商须知前附表＞评标办法＞磋商文件其他内容。</w:t>
            </w:r>
          </w:p>
          <w:p w14:paraId="7373FFB0">
            <w:pPr>
              <w:pStyle w:val="8"/>
              <w:keepNext w:val="0"/>
              <w:keepLines w:val="0"/>
              <w:pageBreakBefore w:val="0"/>
              <w:widowControl/>
              <w:kinsoku/>
              <w:wordWrap/>
              <w:overflowPunct/>
              <w:topLinePunct w:val="0"/>
              <w:bidi w:val="0"/>
              <w:spacing w:line="360" w:lineRule="exact"/>
              <w:textAlignment w:val="auto"/>
              <w:rPr>
                <w:rFonts w:hint="eastAsia" w:ascii="宋体" w:hAnsi="宋体" w:eastAsia="宋体" w:cs="宋体"/>
                <w:color w:val="auto"/>
                <w:sz w:val="24"/>
                <w:szCs w:val="24"/>
              </w:rPr>
            </w:pPr>
            <w:r>
              <w:rPr>
                <w:rFonts w:hint="eastAsia" w:ascii="宋体" w:hAnsi="宋体" w:eastAsia="宋体" w:cs="宋体"/>
                <w:b w:val="0"/>
                <w:bCs/>
                <w:color w:val="auto"/>
                <w:sz w:val="24"/>
                <w:szCs w:val="24"/>
              </w:rPr>
              <w:t>4、</w:t>
            </w:r>
            <w:r>
              <w:rPr>
                <w:rFonts w:hint="eastAsia" w:ascii="宋体" w:hAnsi="宋体" w:eastAsia="宋体" w:cs="宋体"/>
                <w:color w:val="auto"/>
                <w:sz w:val="24"/>
                <w:szCs w:val="24"/>
              </w:rPr>
              <w:t>严格贯彻落实国家关于节能环保、进口产品管理和促进中小型企业发展等政府采购政策.</w:t>
            </w:r>
          </w:p>
          <w:p w14:paraId="7268EB8B">
            <w:pPr>
              <w:pStyle w:val="5"/>
              <w:keepNext w:val="0"/>
              <w:keepLines w:val="0"/>
              <w:pageBreakBefore w:val="0"/>
              <w:kinsoku/>
              <w:wordWrap/>
              <w:overflowPunct/>
              <w:topLinePunct w:val="0"/>
              <w:bidi w:val="0"/>
              <w:spacing w:line="360" w:lineRule="exact"/>
              <w:ind w:left="0" w:right="-21"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注：本项目为运维服务</w:t>
            </w:r>
            <w:r>
              <w:rPr>
                <w:rFonts w:hint="eastAsia" w:ascii="宋体" w:hAnsi="宋体" w:eastAsia="宋体" w:cs="宋体"/>
                <w:b/>
                <w:bCs/>
                <w:color w:val="auto"/>
                <w:sz w:val="24"/>
                <w:szCs w:val="24"/>
                <w:lang w:eastAsia="zh-CN"/>
              </w:rPr>
              <w:t>（分公司可以参加磋商）</w:t>
            </w:r>
            <w:r>
              <w:rPr>
                <w:rFonts w:hint="eastAsia" w:ascii="宋体" w:hAnsi="宋体" w:eastAsia="宋体" w:cs="宋体"/>
                <w:b/>
                <w:bCs/>
                <w:color w:val="auto"/>
                <w:sz w:val="24"/>
                <w:szCs w:val="24"/>
              </w:rPr>
              <w:t>，供应商根据项目预算，结合自身技术能力及市场情况，参考本项目实地现场情况和相关标准及投标相关费用自行报价，供应商如恶意竞争低价中标造成项目中标后无法履行合同,或无法对项目进行服务等，采购人将上报有关部门对其中标单位进行通报，造成的后果供应商自行承担</w:t>
            </w:r>
            <w:r>
              <w:rPr>
                <w:rFonts w:hint="eastAsia" w:ascii="宋体" w:hAnsi="宋体" w:eastAsia="宋体" w:cs="宋体"/>
                <w:color w:val="auto"/>
                <w:sz w:val="24"/>
                <w:szCs w:val="24"/>
              </w:rPr>
              <w:t xml:space="preserve"> 。</w:t>
            </w:r>
          </w:p>
        </w:tc>
      </w:tr>
    </w:tbl>
    <w:p w14:paraId="702E56AC">
      <w:pPr>
        <w:pStyle w:val="8"/>
        <w:keepNext w:val="0"/>
        <w:keepLines w:val="0"/>
        <w:pageBreakBefore w:val="0"/>
        <w:widowControl/>
        <w:kinsoku/>
        <w:wordWrap/>
        <w:overflowPunct/>
        <w:topLinePunct w:val="0"/>
        <w:bidi w:val="0"/>
        <w:spacing w:line="360" w:lineRule="exact"/>
        <w:textAlignment w:val="auto"/>
        <w:rPr>
          <w:rFonts w:hint="eastAsia" w:ascii="宋体" w:hAnsi="宋体" w:eastAsia="宋体" w:cs="宋体"/>
          <w:bCs/>
          <w:color w:val="auto"/>
          <w:sz w:val="24"/>
          <w:szCs w:val="24"/>
        </w:rPr>
      </w:pPr>
      <w:bookmarkStart w:id="215" w:name="_Toc8278"/>
      <w:bookmarkStart w:id="216" w:name="_Toc6139"/>
      <w:bookmarkStart w:id="217" w:name="_Toc2958"/>
      <w:bookmarkStart w:id="218" w:name="_Toc9482"/>
      <w:r>
        <w:rPr>
          <w:rFonts w:hint="eastAsia" w:ascii="宋体" w:hAnsi="宋体" w:eastAsia="宋体" w:cs="宋体"/>
          <w:bCs/>
          <w:color w:val="auto"/>
          <w:sz w:val="24"/>
          <w:szCs w:val="24"/>
        </w:rPr>
        <w:t>注：磋商文件中如有与投标须知前附表不一致之处，以投标须知前附表为准。</w:t>
      </w:r>
      <w:bookmarkEnd w:id="215"/>
      <w:bookmarkEnd w:id="216"/>
      <w:bookmarkEnd w:id="217"/>
      <w:bookmarkEnd w:id="218"/>
    </w:p>
    <w:p w14:paraId="65A102FE">
      <w:pPr>
        <w:rPr>
          <w:rFonts w:ascii="宋体" w:hAnsi="宋体" w:eastAsia="宋体" w:cs="宋体"/>
          <w:color w:val="auto"/>
          <w:sz w:val="24"/>
          <w:lang w:bidi="ar"/>
        </w:rPr>
        <w:sectPr>
          <w:footerReference r:id="rId3" w:type="default"/>
          <w:pgSz w:w="11910" w:h="16850"/>
          <w:pgMar w:top="1060" w:right="850" w:bottom="1140" w:left="940" w:header="1" w:footer="954" w:gutter="0"/>
          <w:pgNumType w:start="1"/>
          <w:cols w:space="425" w:num="1"/>
          <w:docGrid w:type="lines" w:linePitch="312" w:charSpace="0"/>
        </w:sectPr>
      </w:pPr>
    </w:p>
    <w:p w14:paraId="543EF4ED">
      <w:pPr>
        <w:pStyle w:val="8"/>
        <w:numPr>
          <w:ilvl w:val="0"/>
          <w:numId w:val="0"/>
        </w:numPr>
        <w:jc w:val="center"/>
        <w:rPr>
          <w:rFonts w:hint="default" w:asciiTheme="majorEastAsia" w:hAnsiTheme="majorEastAsia" w:eastAsiaTheme="majorEastAsia" w:cstheme="majorEastAsia"/>
          <w:color w:val="auto"/>
          <w:sz w:val="28"/>
          <w:szCs w:val="28"/>
        </w:rPr>
      </w:pPr>
      <w:bookmarkStart w:id="219" w:name="_bookmark2"/>
      <w:bookmarkEnd w:id="219"/>
      <w:bookmarkStart w:id="220" w:name="_Toc29507"/>
      <w:bookmarkStart w:id="221" w:name="_Toc31973"/>
      <w:r>
        <w:rPr>
          <w:rFonts w:hint="eastAsia" w:asciiTheme="majorEastAsia" w:hAnsiTheme="majorEastAsia" w:eastAsiaTheme="majorEastAsia" w:cstheme="majorEastAsia"/>
          <w:b/>
          <w:color w:val="auto"/>
          <w:kern w:val="0"/>
          <w:sz w:val="28"/>
          <w:szCs w:val="28"/>
          <w:lang w:val="en-US" w:eastAsia="zh-CN" w:bidi="ar-SA"/>
        </w:rPr>
        <w:t xml:space="preserve">第三章 </w:t>
      </w:r>
      <w:r>
        <w:rPr>
          <w:rFonts w:asciiTheme="majorEastAsia" w:hAnsiTheme="majorEastAsia" w:eastAsiaTheme="majorEastAsia" w:cstheme="majorEastAsia"/>
          <w:color w:val="auto"/>
          <w:sz w:val="28"/>
          <w:szCs w:val="28"/>
        </w:rPr>
        <w:t>采购需求</w:t>
      </w:r>
      <w:bookmarkEnd w:id="220"/>
      <w:bookmarkEnd w:id="221"/>
    </w:p>
    <w:p w14:paraId="3DEEC9EE">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482" w:firstLineChars="200"/>
        <w:jc w:val="both"/>
        <w:textAlignment w:val="baseline"/>
        <w:outlineLvl w:val="9"/>
        <w:rPr>
          <w:rFonts w:hint="eastAsia" w:ascii="宋体" w:hAnsi="宋体" w:eastAsia="宋体" w:cs="宋体"/>
          <w:b w:val="0"/>
          <w:i w:val="0"/>
          <w:caps w:val="0"/>
          <w:color w:val="auto"/>
          <w:spacing w:val="0"/>
          <w:w w:val="100"/>
          <w:sz w:val="24"/>
          <w:szCs w:val="24"/>
        </w:rPr>
      </w:pPr>
      <w:bookmarkStart w:id="222" w:name="_Toc24710"/>
      <w:r>
        <w:rPr>
          <w:rFonts w:hint="eastAsia" w:ascii="宋体" w:hAnsi="宋体" w:eastAsia="宋体" w:cs="宋体"/>
          <w:b/>
          <w:i w:val="0"/>
          <w:caps w:val="0"/>
          <w:color w:val="auto"/>
          <w:spacing w:val="0"/>
          <w:w w:val="100"/>
          <w:sz w:val="24"/>
          <w:szCs w:val="24"/>
        </w:rPr>
        <w:t>一、项目说明</w:t>
      </w:r>
    </w:p>
    <w:p w14:paraId="752E29EE">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480" w:firstLineChars="200"/>
        <w:jc w:val="both"/>
        <w:textAlignment w:val="baseline"/>
        <w:outlineLvl w:val="9"/>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市应急管理局现有政务外网、互联网、指挥信息专网、办公电脑与打印机、网络交换机与防火墙、UPS与机柜、显示大屏与音响、视频会议调度等设备。</w:t>
      </w:r>
    </w:p>
    <w:p w14:paraId="7B012767">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480" w:firstLineChars="200"/>
        <w:jc w:val="both"/>
        <w:textAlignment w:val="baseline"/>
        <w:outlineLvl w:val="9"/>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为保证市应急局相关办公设备与网络稳定运行，降低设备故障率，提高信息系统安全防护能力，保障市应急局日常办公正常开展，现需为相关设备和网络采购专业运维技术支持服务。</w:t>
      </w:r>
    </w:p>
    <w:p w14:paraId="499C5D48">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480" w:firstLineChars="200"/>
        <w:jc w:val="both"/>
        <w:textAlignment w:val="baseline"/>
        <w:outlineLvl w:val="9"/>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针对此次维保服务，内容主要有：</w:t>
      </w:r>
    </w:p>
    <w:p w14:paraId="3B36FC6E">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480" w:firstLineChars="200"/>
        <w:jc w:val="both"/>
        <w:textAlignment w:val="baseline"/>
        <w:outlineLvl w:val="9"/>
        <w:rPr>
          <w:rFonts w:hint="eastAsia" w:ascii="宋体" w:hAnsi="宋体" w:eastAsia="宋体" w:cs="宋体"/>
          <w:b/>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rPr>
        <w:t>二、</w:t>
      </w:r>
      <w:r>
        <w:rPr>
          <w:rFonts w:hint="eastAsia" w:ascii="宋体" w:hAnsi="宋体" w:eastAsia="宋体" w:cs="宋体"/>
          <w:b/>
          <w:i w:val="0"/>
          <w:caps w:val="0"/>
          <w:color w:val="auto"/>
          <w:spacing w:val="0"/>
          <w:w w:val="100"/>
          <w:sz w:val="24"/>
          <w:szCs w:val="24"/>
          <w:lang w:val="en-US" w:eastAsia="zh-CN"/>
        </w:rPr>
        <w:t>服务</w:t>
      </w:r>
      <w:r>
        <w:rPr>
          <w:rFonts w:hint="eastAsia" w:ascii="宋体" w:hAnsi="宋体" w:eastAsia="宋体" w:cs="宋体"/>
          <w:b/>
          <w:i w:val="0"/>
          <w:caps w:val="0"/>
          <w:color w:val="auto"/>
          <w:spacing w:val="0"/>
          <w:w w:val="100"/>
          <w:sz w:val="24"/>
          <w:szCs w:val="24"/>
        </w:rPr>
        <w:t>范围</w:t>
      </w:r>
      <w:r>
        <w:rPr>
          <w:rFonts w:hint="eastAsia" w:ascii="宋体" w:hAnsi="宋体" w:eastAsia="宋体" w:cs="宋体"/>
          <w:b/>
          <w:i w:val="0"/>
          <w:caps w:val="0"/>
          <w:color w:val="auto"/>
          <w:spacing w:val="0"/>
          <w:w w:val="100"/>
          <w:sz w:val="24"/>
          <w:szCs w:val="24"/>
          <w:lang w:val="en-US" w:eastAsia="zh-CN"/>
        </w:rPr>
        <w:t>及目标</w:t>
      </w:r>
    </w:p>
    <w:p w14:paraId="494DABA9">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20" w:lineRule="exact"/>
        <w:ind w:left="0" w:leftChars="0" w:firstLine="480" w:firstLineChars="200"/>
        <w:jc w:val="both"/>
        <w:textAlignment w:val="baseline"/>
        <w:outlineLvl w:val="9"/>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kern w:val="2"/>
          <w:sz w:val="24"/>
          <w:szCs w:val="24"/>
          <w:lang w:val="en-US" w:eastAsia="zh-CN" w:bidi="ar-SA"/>
        </w:rPr>
        <w:t>1、</w:t>
      </w:r>
      <w:r>
        <w:rPr>
          <w:rFonts w:hint="eastAsia" w:ascii="宋体" w:hAnsi="宋体" w:eastAsia="宋体" w:cs="宋体"/>
          <w:b/>
          <w:bCs/>
          <w:i w:val="0"/>
          <w:caps w:val="0"/>
          <w:color w:val="auto"/>
          <w:spacing w:val="0"/>
          <w:w w:val="100"/>
          <w:kern w:val="2"/>
          <w:sz w:val="24"/>
          <w:szCs w:val="24"/>
          <w:lang w:val="en-US" w:eastAsia="zh-CN" w:bidi="ar-SA"/>
        </w:rPr>
        <w:t>设备间</w:t>
      </w:r>
      <w:r>
        <w:rPr>
          <w:rFonts w:hint="eastAsia" w:ascii="宋体" w:hAnsi="宋体" w:eastAsia="宋体" w:cs="宋体"/>
          <w:b/>
          <w:bCs/>
          <w:i w:val="0"/>
          <w:caps w:val="0"/>
          <w:color w:val="auto"/>
          <w:spacing w:val="0"/>
          <w:w w:val="100"/>
          <w:sz w:val="24"/>
          <w:szCs w:val="24"/>
        </w:rPr>
        <w:t>设备类</w:t>
      </w:r>
      <w:r>
        <w:rPr>
          <w:rFonts w:hint="eastAsia" w:ascii="宋体" w:hAnsi="宋体" w:eastAsia="宋体" w:cs="宋体"/>
          <w:b w:val="0"/>
          <w:i w:val="0"/>
          <w:caps w:val="0"/>
          <w:color w:val="auto"/>
          <w:spacing w:val="0"/>
          <w:w w:val="100"/>
          <w:sz w:val="24"/>
          <w:szCs w:val="24"/>
        </w:rPr>
        <w:t>：对</w:t>
      </w:r>
      <w:r>
        <w:rPr>
          <w:rFonts w:hint="eastAsia" w:ascii="宋体" w:hAnsi="宋体" w:eastAsia="宋体" w:cs="宋体"/>
          <w:b w:val="0"/>
          <w:i w:val="0"/>
          <w:caps w:val="0"/>
          <w:color w:val="auto"/>
          <w:spacing w:val="0"/>
          <w:w w:val="100"/>
          <w:sz w:val="24"/>
          <w:szCs w:val="24"/>
          <w:lang w:val="en-US" w:eastAsia="zh-CN"/>
        </w:rPr>
        <w:t>各类设备间</w:t>
      </w:r>
      <w:r>
        <w:rPr>
          <w:rFonts w:hint="eastAsia" w:ascii="宋体" w:hAnsi="宋体" w:eastAsia="宋体" w:cs="宋体"/>
          <w:b w:val="0"/>
          <w:i w:val="0"/>
          <w:caps w:val="0"/>
          <w:color w:val="auto"/>
          <w:spacing w:val="0"/>
          <w:w w:val="100"/>
          <w:sz w:val="24"/>
          <w:szCs w:val="24"/>
        </w:rPr>
        <w:t>设备</w:t>
      </w:r>
      <w:r>
        <w:rPr>
          <w:rFonts w:hint="eastAsia" w:ascii="宋体" w:hAnsi="宋体" w:eastAsia="宋体" w:cs="宋体"/>
          <w:b w:val="0"/>
          <w:i w:val="0"/>
          <w:caps w:val="0"/>
          <w:color w:val="auto"/>
          <w:spacing w:val="0"/>
          <w:w w:val="100"/>
          <w:sz w:val="24"/>
          <w:szCs w:val="24"/>
          <w:lang w:val="en-US" w:eastAsia="zh-CN"/>
        </w:rPr>
        <w:t>进行巡检，出具巡检报告；协助设备厂商、网络运营商对故障设备进行维修。设备间设备类主要包括市应急局六楼一号会议室后设备间内会议终端、调音台、大屏控制器等设备。</w:t>
      </w:r>
    </w:p>
    <w:p w14:paraId="2CBC0A84">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left="0" w:leftChars="0" w:firstLine="482" w:firstLineChars="200"/>
        <w:jc w:val="both"/>
        <w:textAlignment w:val="baseline"/>
        <w:outlineLvl w:val="9"/>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bCs/>
          <w:i w:val="0"/>
          <w:caps w:val="0"/>
          <w:color w:val="auto"/>
          <w:spacing w:val="0"/>
          <w:w w:val="100"/>
          <w:sz w:val="24"/>
          <w:szCs w:val="24"/>
          <w:lang w:val="en-US" w:eastAsia="zh-CN"/>
        </w:rPr>
        <w:t>目标</w:t>
      </w:r>
      <w:r>
        <w:rPr>
          <w:rFonts w:hint="eastAsia" w:ascii="宋体" w:hAnsi="宋体" w:eastAsia="宋体" w:cs="宋体"/>
          <w:b w:val="0"/>
          <w:i w:val="0"/>
          <w:caps w:val="0"/>
          <w:color w:val="auto"/>
          <w:spacing w:val="0"/>
          <w:w w:val="100"/>
          <w:sz w:val="24"/>
          <w:szCs w:val="24"/>
          <w:lang w:val="en-US" w:eastAsia="zh-CN"/>
        </w:rPr>
        <w:t>：及时发现设备间设备运行故障和存在的隐患，并及时报告，按照业主要求，协助设备厂商、项目施工单位、网络运营商等维修设备、消除隐患，使设备能够正常运转。</w:t>
      </w:r>
    </w:p>
    <w:p w14:paraId="34BB49D3">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20" w:lineRule="exact"/>
        <w:ind w:left="0" w:leftChars="0" w:firstLine="480" w:firstLineChars="200"/>
        <w:jc w:val="both"/>
        <w:textAlignment w:val="baseline"/>
        <w:outlineLvl w:val="9"/>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kern w:val="2"/>
          <w:sz w:val="24"/>
          <w:szCs w:val="24"/>
          <w:lang w:val="en-US" w:eastAsia="zh-CN" w:bidi="ar-SA"/>
        </w:rPr>
        <w:t>2、</w:t>
      </w:r>
      <w:r>
        <w:rPr>
          <w:rFonts w:hint="eastAsia" w:ascii="宋体" w:hAnsi="宋体" w:eastAsia="宋体" w:cs="宋体"/>
          <w:b/>
          <w:bCs/>
          <w:i w:val="0"/>
          <w:caps w:val="0"/>
          <w:color w:val="auto"/>
          <w:spacing w:val="0"/>
          <w:w w:val="100"/>
          <w:kern w:val="2"/>
          <w:sz w:val="24"/>
          <w:szCs w:val="24"/>
          <w:lang w:val="en-US" w:eastAsia="zh-CN" w:bidi="ar-SA"/>
        </w:rPr>
        <w:t>设备间</w:t>
      </w:r>
      <w:r>
        <w:rPr>
          <w:rFonts w:hint="eastAsia" w:ascii="宋体" w:hAnsi="宋体" w:eastAsia="宋体" w:cs="宋体"/>
          <w:b/>
          <w:bCs/>
          <w:i w:val="0"/>
          <w:caps w:val="0"/>
          <w:color w:val="auto"/>
          <w:spacing w:val="0"/>
          <w:w w:val="100"/>
          <w:sz w:val="24"/>
          <w:szCs w:val="24"/>
        </w:rPr>
        <w:t>环境类</w:t>
      </w:r>
      <w:r>
        <w:rPr>
          <w:rFonts w:hint="eastAsia" w:ascii="宋体" w:hAnsi="宋体" w:eastAsia="宋体" w:cs="宋体"/>
          <w:b w:val="0"/>
          <w:i w:val="0"/>
          <w:caps w:val="0"/>
          <w:color w:val="auto"/>
          <w:spacing w:val="0"/>
          <w:w w:val="100"/>
          <w:sz w:val="24"/>
          <w:szCs w:val="24"/>
        </w:rPr>
        <w:t>：对</w:t>
      </w:r>
      <w:r>
        <w:rPr>
          <w:rFonts w:hint="eastAsia" w:ascii="宋体" w:hAnsi="宋体" w:eastAsia="宋体" w:cs="宋体"/>
          <w:b w:val="0"/>
          <w:i w:val="0"/>
          <w:caps w:val="0"/>
          <w:color w:val="auto"/>
          <w:spacing w:val="0"/>
          <w:w w:val="100"/>
          <w:sz w:val="24"/>
          <w:szCs w:val="24"/>
          <w:lang w:val="en-US" w:eastAsia="zh-CN"/>
        </w:rPr>
        <w:t>市应急管理局六楼一号会议室后设备间</w:t>
      </w:r>
      <w:r>
        <w:rPr>
          <w:rFonts w:hint="eastAsia" w:ascii="宋体" w:hAnsi="宋体" w:eastAsia="宋体" w:cs="宋体"/>
          <w:b w:val="0"/>
          <w:i w:val="0"/>
          <w:caps w:val="0"/>
          <w:color w:val="auto"/>
          <w:spacing w:val="0"/>
          <w:w w:val="100"/>
          <w:sz w:val="24"/>
          <w:szCs w:val="24"/>
        </w:rPr>
        <w:t>环境类设备进行巡检</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lang w:val="en-US" w:eastAsia="zh-CN"/>
        </w:rPr>
        <w:t>出具巡检报告，并及时清理设备间环境卫生</w:t>
      </w:r>
      <w:r>
        <w:rPr>
          <w:rFonts w:hint="eastAsia" w:ascii="宋体" w:hAnsi="宋体" w:eastAsia="宋体" w:cs="宋体"/>
          <w:b w:val="0"/>
          <w:i w:val="0"/>
          <w:caps w:val="0"/>
          <w:color w:val="auto"/>
          <w:spacing w:val="0"/>
          <w:w w:val="100"/>
          <w:sz w:val="24"/>
          <w:szCs w:val="24"/>
        </w:rPr>
        <w:t>；协助</w:t>
      </w:r>
      <w:r>
        <w:rPr>
          <w:rFonts w:hint="eastAsia" w:ascii="宋体" w:hAnsi="宋体" w:eastAsia="宋体" w:cs="宋体"/>
          <w:b w:val="0"/>
          <w:i w:val="0"/>
          <w:caps w:val="0"/>
          <w:color w:val="auto"/>
          <w:spacing w:val="0"/>
          <w:w w:val="100"/>
          <w:sz w:val="24"/>
          <w:szCs w:val="24"/>
          <w:lang w:val="en-US" w:eastAsia="zh-CN"/>
        </w:rPr>
        <w:t>设备</w:t>
      </w:r>
      <w:r>
        <w:rPr>
          <w:rFonts w:hint="eastAsia" w:ascii="宋体" w:hAnsi="宋体" w:eastAsia="宋体" w:cs="宋体"/>
          <w:b w:val="0"/>
          <w:i w:val="0"/>
          <w:caps w:val="0"/>
          <w:color w:val="auto"/>
          <w:spacing w:val="0"/>
          <w:w w:val="100"/>
          <w:sz w:val="24"/>
          <w:szCs w:val="24"/>
        </w:rPr>
        <w:t>厂商对</w:t>
      </w:r>
      <w:r>
        <w:rPr>
          <w:rFonts w:hint="eastAsia" w:ascii="宋体" w:hAnsi="宋体" w:eastAsia="宋体" w:cs="宋体"/>
          <w:b w:val="0"/>
          <w:i w:val="0"/>
          <w:caps w:val="0"/>
          <w:color w:val="auto"/>
          <w:spacing w:val="0"/>
          <w:w w:val="100"/>
          <w:sz w:val="24"/>
          <w:szCs w:val="24"/>
          <w:lang w:val="en-US" w:eastAsia="zh-CN"/>
        </w:rPr>
        <w:t>设备间环境</w:t>
      </w:r>
      <w:r>
        <w:rPr>
          <w:rFonts w:hint="eastAsia" w:ascii="宋体" w:hAnsi="宋体" w:eastAsia="宋体" w:cs="宋体"/>
          <w:b w:val="0"/>
          <w:i w:val="0"/>
          <w:caps w:val="0"/>
          <w:color w:val="auto"/>
          <w:spacing w:val="0"/>
          <w:w w:val="100"/>
          <w:sz w:val="24"/>
          <w:szCs w:val="24"/>
        </w:rPr>
        <w:t>设备进行维修</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lang w:val="en-US" w:eastAsia="zh-CN"/>
        </w:rPr>
        <w:t>清洁设备间环境卫生。</w:t>
      </w:r>
    </w:p>
    <w:p w14:paraId="2A00BE13">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left="0" w:leftChars="0" w:firstLine="480" w:firstLineChars="200"/>
        <w:jc w:val="both"/>
        <w:textAlignment w:val="baseline"/>
        <w:outlineLvl w:val="9"/>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设备间环境类设备主要包括供电设备、配电设备、空调系统、UPS、照明系统等。</w:t>
      </w:r>
    </w:p>
    <w:p w14:paraId="137C858E">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left="0" w:leftChars="0" w:firstLine="482" w:firstLineChars="200"/>
        <w:jc w:val="both"/>
        <w:textAlignment w:val="baseline"/>
        <w:outlineLvl w:val="9"/>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bCs/>
          <w:i w:val="0"/>
          <w:caps w:val="0"/>
          <w:color w:val="auto"/>
          <w:spacing w:val="0"/>
          <w:w w:val="100"/>
          <w:sz w:val="24"/>
          <w:szCs w:val="24"/>
        </w:rPr>
        <w:t>目标</w:t>
      </w:r>
      <w:r>
        <w:rPr>
          <w:rFonts w:hint="eastAsia" w:ascii="宋体" w:hAnsi="宋体" w:eastAsia="宋体" w:cs="宋体"/>
          <w:b w:val="0"/>
          <w:i w:val="0"/>
          <w:caps w:val="0"/>
          <w:color w:val="auto"/>
          <w:spacing w:val="0"/>
          <w:w w:val="100"/>
          <w:sz w:val="24"/>
          <w:szCs w:val="24"/>
        </w:rPr>
        <w:t>：及时发现</w:t>
      </w:r>
      <w:r>
        <w:rPr>
          <w:rFonts w:hint="eastAsia" w:ascii="宋体" w:hAnsi="宋体" w:eastAsia="宋体" w:cs="宋体"/>
          <w:b w:val="0"/>
          <w:i w:val="0"/>
          <w:caps w:val="0"/>
          <w:color w:val="auto"/>
          <w:spacing w:val="0"/>
          <w:w w:val="100"/>
          <w:sz w:val="24"/>
          <w:szCs w:val="24"/>
          <w:lang w:val="en-US" w:eastAsia="zh-CN"/>
        </w:rPr>
        <w:t>设备间</w:t>
      </w:r>
      <w:r>
        <w:rPr>
          <w:rFonts w:hint="eastAsia" w:ascii="宋体" w:hAnsi="宋体" w:eastAsia="宋体" w:cs="宋体"/>
          <w:b w:val="0"/>
          <w:i w:val="0"/>
          <w:caps w:val="0"/>
          <w:color w:val="auto"/>
          <w:spacing w:val="0"/>
          <w:w w:val="100"/>
          <w:sz w:val="24"/>
          <w:szCs w:val="24"/>
        </w:rPr>
        <w:t>环境中存在的不利于设备运行的安全隐患，并及时告知业主，按照业主要求，协助</w:t>
      </w:r>
      <w:r>
        <w:rPr>
          <w:rFonts w:hint="eastAsia" w:ascii="宋体" w:hAnsi="宋体" w:eastAsia="宋体" w:cs="宋体"/>
          <w:b w:val="0"/>
          <w:i w:val="0"/>
          <w:caps w:val="0"/>
          <w:color w:val="auto"/>
          <w:spacing w:val="0"/>
          <w:w w:val="100"/>
          <w:sz w:val="24"/>
          <w:szCs w:val="24"/>
          <w:lang w:val="en-US" w:eastAsia="zh-CN"/>
        </w:rPr>
        <w:t>硬件厂商</w:t>
      </w:r>
      <w:r>
        <w:rPr>
          <w:rFonts w:hint="eastAsia" w:ascii="宋体" w:hAnsi="宋体" w:eastAsia="宋体" w:cs="宋体"/>
          <w:b w:val="0"/>
          <w:i w:val="0"/>
          <w:caps w:val="0"/>
          <w:color w:val="auto"/>
          <w:spacing w:val="0"/>
          <w:w w:val="100"/>
          <w:sz w:val="24"/>
          <w:szCs w:val="24"/>
        </w:rPr>
        <w:t>、</w:t>
      </w:r>
      <w:r>
        <w:rPr>
          <w:rFonts w:hint="eastAsia" w:ascii="宋体" w:hAnsi="宋体" w:eastAsia="宋体" w:cs="宋体"/>
          <w:b w:val="0"/>
          <w:i w:val="0"/>
          <w:caps w:val="0"/>
          <w:color w:val="auto"/>
          <w:spacing w:val="0"/>
          <w:w w:val="100"/>
          <w:sz w:val="24"/>
          <w:szCs w:val="24"/>
          <w:lang w:val="en-US" w:eastAsia="zh-CN"/>
        </w:rPr>
        <w:t>软件厂商、</w:t>
      </w:r>
      <w:r>
        <w:rPr>
          <w:rFonts w:hint="eastAsia" w:ascii="宋体" w:hAnsi="宋体" w:eastAsia="宋体" w:cs="宋体"/>
          <w:b w:val="0"/>
          <w:i w:val="0"/>
          <w:caps w:val="0"/>
          <w:color w:val="auto"/>
          <w:spacing w:val="0"/>
          <w:w w:val="100"/>
          <w:sz w:val="24"/>
          <w:szCs w:val="24"/>
        </w:rPr>
        <w:t>信息化安全厂商等单位消除隐患，使设备能够正常运转</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lang w:val="en-US" w:eastAsia="zh-CN"/>
        </w:rPr>
        <w:t>保证设备间环境卫生干净整洁、物品摆放有序。</w:t>
      </w:r>
    </w:p>
    <w:p w14:paraId="5E15EE86">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20" w:lineRule="exact"/>
        <w:ind w:left="0" w:leftChars="0" w:firstLine="480" w:firstLineChars="200"/>
        <w:jc w:val="both"/>
        <w:textAlignment w:val="baseline"/>
        <w:outlineLvl w:val="9"/>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kern w:val="2"/>
          <w:sz w:val="24"/>
          <w:szCs w:val="24"/>
          <w:lang w:val="en-US" w:eastAsia="zh-CN" w:bidi="ar-SA"/>
        </w:rPr>
        <w:t>3、</w:t>
      </w:r>
      <w:r>
        <w:rPr>
          <w:rFonts w:hint="eastAsia" w:ascii="宋体" w:hAnsi="宋体" w:eastAsia="宋体" w:cs="宋体"/>
          <w:b/>
          <w:bCs/>
          <w:i w:val="0"/>
          <w:caps w:val="0"/>
          <w:color w:val="auto"/>
          <w:spacing w:val="0"/>
          <w:w w:val="100"/>
          <w:kern w:val="2"/>
          <w:sz w:val="24"/>
          <w:szCs w:val="24"/>
          <w:lang w:val="en-US" w:eastAsia="zh-CN" w:bidi="ar-SA"/>
        </w:rPr>
        <w:t>设备间</w:t>
      </w:r>
      <w:r>
        <w:rPr>
          <w:rFonts w:hint="eastAsia" w:ascii="宋体" w:hAnsi="宋体" w:eastAsia="宋体" w:cs="宋体"/>
          <w:b/>
          <w:bCs/>
          <w:i w:val="0"/>
          <w:caps w:val="0"/>
          <w:color w:val="auto"/>
          <w:spacing w:val="0"/>
          <w:w w:val="100"/>
          <w:sz w:val="24"/>
          <w:szCs w:val="24"/>
          <w:lang w:val="en-US" w:eastAsia="zh-CN"/>
        </w:rPr>
        <w:t>网络</w:t>
      </w:r>
      <w:r>
        <w:rPr>
          <w:rFonts w:hint="eastAsia" w:ascii="宋体" w:hAnsi="宋体" w:eastAsia="宋体" w:cs="宋体"/>
          <w:b/>
          <w:bCs/>
          <w:i w:val="0"/>
          <w:caps w:val="0"/>
          <w:color w:val="auto"/>
          <w:spacing w:val="0"/>
          <w:w w:val="100"/>
          <w:sz w:val="24"/>
          <w:szCs w:val="24"/>
        </w:rPr>
        <w:t>类</w:t>
      </w:r>
      <w:r>
        <w:rPr>
          <w:rFonts w:hint="eastAsia" w:ascii="宋体" w:hAnsi="宋体" w:eastAsia="宋体" w:cs="宋体"/>
          <w:b w:val="0"/>
          <w:i w:val="0"/>
          <w:caps w:val="0"/>
          <w:color w:val="auto"/>
          <w:spacing w:val="0"/>
          <w:w w:val="100"/>
          <w:sz w:val="24"/>
          <w:szCs w:val="24"/>
        </w:rPr>
        <w:t>：对</w:t>
      </w:r>
      <w:r>
        <w:rPr>
          <w:rFonts w:hint="eastAsia" w:ascii="宋体" w:hAnsi="宋体" w:eastAsia="宋体" w:cs="宋体"/>
          <w:b w:val="0"/>
          <w:i w:val="0"/>
          <w:caps w:val="0"/>
          <w:color w:val="auto"/>
          <w:spacing w:val="0"/>
          <w:w w:val="100"/>
          <w:sz w:val="24"/>
          <w:szCs w:val="24"/>
          <w:lang w:val="en-US" w:eastAsia="zh-CN"/>
        </w:rPr>
        <w:t>设备间内核心网络设备、网线及网线连接进行巡检和维护，出具巡检报告</w:t>
      </w:r>
      <w:r>
        <w:rPr>
          <w:rFonts w:hint="eastAsia" w:ascii="宋体" w:hAnsi="宋体" w:eastAsia="宋体" w:cs="宋体"/>
          <w:b w:val="0"/>
          <w:i w:val="0"/>
          <w:caps w:val="0"/>
          <w:color w:val="auto"/>
          <w:spacing w:val="0"/>
          <w:w w:val="100"/>
          <w:sz w:val="24"/>
          <w:szCs w:val="24"/>
        </w:rPr>
        <w:t>；协助</w:t>
      </w:r>
      <w:r>
        <w:rPr>
          <w:rFonts w:hint="eastAsia" w:ascii="宋体" w:hAnsi="宋体" w:eastAsia="宋体" w:cs="宋体"/>
          <w:b w:val="0"/>
          <w:i w:val="0"/>
          <w:caps w:val="0"/>
          <w:color w:val="auto"/>
          <w:spacing w:val="0"/>
          <w:w w:val="100"/>
          <w:sz w:val="24"/>
          <w:szCs w:val="24"/>
          <w:lang w:val="en-US" w:eastAsia="zh-CN"/>
        </w:rPr>
        <w:t>网络运营商排查网络故障，。</w:t>
      </w:r>
    </w:p>
    <w:p w14:paraId="4F0C486C">
      <w:pPr>
        <w:pStyle w:val="23"/>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left="0" w:leftChars="0" w:firstLine="480" w:firstLineChars="200"/>
        <w:jc w:val="both"/>
        <w:textAlignment w:val="baseline"/>
        <w:outlineLvl w:val="9"/>
        <w:rPr>
          <w:rFonts w:hint="eastAsia" w:ascii="宋体" w:hAnsi="宋体" w:eastAsia="宋体" w:cs="宋体"/>
          <w:b w:val="0"/>
          <w:i w:val="0"/>
          <w:caps w:val="0"/>
          <w:color w:val="auto"/>
          <w:spacing w:val="0"/>
          <w:w w:val="100"/>
          <w:sz w:val="24"/>
          <w:szCs w:val="24"/>
          <w:lang w:val="en-US"/>
        </w:rPr>
      </w:pPr>
      <w:r>
        <w:rPr>
          <w:rFonts w:hint="eastAsia" w:ascii="宋体" w:hAnsi="宋体" w:cs="宋体"/>
          <w:b w:val="0"/>
          <w:i w:val="0"/>
          <w:caps w:val="0"/>
          <w:color w:val="auto"/>
          <w:spacing w:val="0"/>
          <w:w w:val="100"/>
          <w:sz w:val="24"/>
          <w:szCs w:val="24"/>
          <w:lang w:val="en-US" w:eastAsia="zh-CN"/>
        </w:rPr>
        <w:t>设备间网络</w:t>
      </w:r>
      <w:r>
        <w:rPr>
          <w:rFonts w:hint="eastAsia" w:ascii="宋体" w:hAnsi="宋体" w:eastAsia="宋体" w:cs="宋体"/>
          <w:b w:val="0"/>
          <w:i w:val="0"/>
          <w:caps w:val="0"/>
          <w:color w:val="auto"/>
          <w:spacing w:val="0"/>
          <w:w w:val="100"/>
          <w:sz w:val="24"/>
          <w:szCs w:val="24"/>
          <w:lang w:val="en-US" w:eastAsia="zh-CN"/>
        </w:rPr>
        <w:t>类设备主要包括各核心交换机、网络隔离设备、网线、水晶头等。</w:t>
      </w:r>
    </w:p>
    <w:p w14:paraId="502EC953">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left="0" w:leftChars="0" w:firstLine="482" w:firstLineChars="200"/>
        <w:jc w:val="both"/>
        <w:textAlignment w:val="baseline"/>
        <w:outlineLvl w:val="9"/>
        <w:rPr>
          <w:rFonts w:hint="eastAsia" w:ascii="宋体" w:hAnsi="宋体" w:eastAsia="宋体" w:cs="宋体"/>
          <w:b w:val="0"/>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目标</w:t>
      </w:r>
      <w:r>
        <w:rPr>
          <w:rFonts w:hint="eastAsia" w:ascii="宋体" w:hAnsi="宋体" w:eastAsia="宋体" w:cs="宋体"/>
          <w:b w:val="0"/>
          <w:i w:val="0"/>
          <w:caps w:val="0"/>
          <w:color w:val="auto"/>
          <w:spacing w:val="0"/>
          <w:w w:val="100"/>
          <w:sz w:val="24"/>
          <w:szCs w:val="24"/>
        </w:rPr>
        <w:t>：</w:t>
      </w:r>
      <w:r>
        <w:rPr>
          <w:rFonts w:hint="eastAsia" w:ascii="宋体" w:hAnsi="宋体" w:eastAsia="宋体" w:cs="宋体"/>
          <w:b w:val="0"/>
          <w:i w:val="0"/>
          <w:caps w:val="0"/>
          <w:color w:val="auto"/>
          <w:spacing w:val="0"/>
          <w:w w:val="100"/>
          <w:sz w:val="24"/>
          <w:szCs w:val="24"/>
          <w:lang w:val="en-US" w:eastAsia="zh-CN"/>
        </w:rPr>
        <w:t>及时发现网络上设备硬件运行故障和存在的隐患，协助厂商进行维修。</w:t>
      </w:r>
    </w:p>
    <w:p w14:paraId="5D43F177">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20" w:lineRule="exact"/>
        <w:ind w:left="0" w:leftChars="0" w:firstLine="480" w:firstLineChars="200"/>
        <w:jc w:val="both"/>
        <w:textAlignment w:val="baseline"/>
        <w:outlineLvl w:val="9"/>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kern w:val="2"/>
          <w:sz w:val="24"/>
          <w:szCs w:val="24"/>
          <w:lang w:val="en-US" w:eastAsia="zh-CN" w:bidi="ar-SA"/>
        </w:rPr>
        <w:t>4、</w:t>
      </w:r>
      <w:r>
        <w:rPr>
          <w:rFonts w:hint="eastAsia" w:ascii="宋体" w:hAnsi="宋体" w:eastAsia="宋体" w:cs="宋体"/>
          <w:b/>
          <w:bCs/>
          <w:i w:val="0"/>
          <w:caps w:val="0"/>
          <w:color w:val="auto"/>
          <w:spacing w:val="0"/>
          <w:w w:val="100"/>
          <w:sz w:val="24"/>
          <w:szCs w:val="24"/>
        </w:rPr>
        <w:t>办公设备类</w:t>
      </w:r>
      <w:r>
        <w:rPr>
          <w:rFonts w:hint="eastAsia" w:ascii="宋体" w:hAnsi="宋体" w:eastAsia="宋体" w:cs="宋体"/>
          <w:b w:val="0"/>
          <w:i w:val="0"/>
          <w:caps w:val="0"/>
          <w:color w:val="auto"/>
          <w:spacing w:val="0"/>
          <w:w w:val="100"/>
          <w:sz w:val="24"/>
          <w:szCs w:val="24"/>
        </w:rPr>
        <w:t>：对</w:t>
      </w:r>
      <w:r>
        <w:rPr>
          <w:rFonts w:hint="eastAsia" w:ascii="宋体" w:hAnsi="宋体" w:eastAsia="宋体" w:cs="宋体"/>
          <w:b w:val="0"/>
          <w:i w:val="0"/>
          <w:caps w:val="0"/>
          <w:color w:val="auto"/>
          <w:spacing w:val="0"/>
          <w:w w:val="100"/>
          <w:sz w:val="24"/>
          <w:szCs w:val="24"/>
          <w:lang w:val="en-US" w:eastAsia="zh-CN"/>
        </w:rPr>
        <w:t>市应急管理局</w:t>
      </w:r>
      <w:r>
        <w:rPr>
          <w:rFonts w:hint="eastAsia" w:ascii="宋体" w:hAnsi="宋体" w:eastAsia="宋体" w:cs="宋体"/>
          <w:b w:val="0"/>
          <w:i w:val="0"/>
          <w:caps w:val="0"/>
          <w:color w:val="auto"/>
          <w:spacing w:val="0"/>
          <w:w w:val="100"/>
          <w:sz w:val="24"/>
          <w:szCs w:val="24"/>
        </w:rPr>
        <w:t>办公区域内</w:t>
      </w:r>
      <w:r>
        <w:rPr>
          <w:rFonts w:hint="eastAsia" w:ascii="宋体" w:hAnsi="宋体" w:eastAsia="宋体" w:cs="宋体"/>
          <w:b w:val="0"/>
          <w:i w:val="0"/>
          <w:caps w:val="0"/>
          <w:color w:val="auto"/>
          <w:spacing w:val="0"/>
          <w:w w:val="100"/>
          <w:sz w:val="24"/>
          <w:szCs w:val="24"/>
          <w:lang w:val="en-US" w:eastAsia="zh-CN"/>
        </w:rPr>
        <w:t>台式</w:t>
      </w:r>
      <w:r>
        <w:rPr>
          <w:rFonts w:hint="eastAsia" w:ascii="宋体" w:hAnsi="宋体" w:eastAsia="宋体" w:cs="宋体"/>
          <w:b w:val="0"/>
          <w:i w:val="0"/>
          <w:caps w:val="0"/>
          <w:color w:val="auto"/>
          <w:spacing w:val="0"/>
          <w:w w:val="100"/>
          <w:sz w:val="24"/>
          <w:szCs w:val="24"/>
        </w:rPr>
        <w:t>电脑</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lang w:val="en-US" w:eastAsia="zh-CN"/>
        </w:rPr>
        <w:t>笔记本电脑、</w:t>
      </w:r>
      <w:r>
        <w:rPr>
          <w:rFonts w:hint="eastAsia" w:ascii="宋体" w:hAnsi="宋体" w:eastAsia="宋体" w:cs="宋体"/>
          <w:b w:val="0"/>
          <w:i w:val="0"/>
          <w:caps w:val="0"/>
          <w:color w:val="auto"/>
          <w:spacing w:val="0"/>
          <w:w w:val="100"/>
          <w:sz w:val="24"/>
          <w:szCs w:val="24"/>
        </w:rPr>
        <w:t>打印机</w:t>
      </w:r>
      <w:r>
        <w:rPr>
          <w:rFonts w:hint="eastAsia" w:ascii="宋体" w:hAnsi="宋体" w:eastAsia="宋体" w:cs="宋体"/>
          <w:b w:val="0"/>
          <w:i w:val="0"/>
          <w:caps w:val="0"/>
          <w:color w:val="auto"/>
          <w:spacing w:val="0"/>
          <w:w w:val="100"/>
          <w:sz w:val="24"/>
          <w:szCs w:val="24"/>
          <w:lang w:val="en-US" w:eastAsia="zh-CN"/>
        </w:rPr>
        <w:t>等办公设备</w:t>
      </w:r>
      <w:r>
        <w:rPr>
          <w:rFonts w:hint="eastAsia" w:ascii="宋体" w:hAnsi="宋体" w:eastAsia="宋体" w:cs="宋体"/>
          <w:b w:val="0"/>
          <w:i w:val="0"/>
          <w:caps w:val="0"/>
          <w:color w:val="auto"/>
          <w:spacing w:val="0"/>
          <w:w w:val="100"/>
          <w:sz w:val="24"/>
          <w:szCs w:val="24"/>
        </w:rPr>
        <w:t>进行维护和故障排除</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rPr>
        <w:t>办公区域为：</w:t>
      </w:r>
      <w:r>
        <w:rPr>
          <w:rFonts w:hint="eastAsia" w:ascii="宋体" w:hAnsi="宋体" w:eastAsia="宋体" w:cs="宋体"/>
          <w:b w:val="0"/>
          <w:i w:val="0"/>
          <w:caps w:val="0"/>
          <w:color w:val="auto"/>
          <w:spacing w:val="0"/>
          <w:w w:val="100"/>
          <w:sz w:val="24"/>
          <w:szCs w:val="24"/>
          <w:lang w:val="en-US" w:eastAsia="zh-CN"/>
        </w:rPr>
        <w:t>市</w:t>
      </w:r>
      <w:r>
        <w:rPr>
          <w:rFonts w:hint="eastAsia" w:ascii="宋体" w:hAnsi="宋体" w:eastAsia="宋体" w:cs="宋体"/>
          <w:b w:val="0"/>
          <w:i w:val="0"/>
          <w:caps w:val="0"/>
          <w:color w:val="auto"/>
          <w:spacing w:val="0"/>
          <w:w w:val="100"/>
          <w:sz w:val="24"/>
          <w:szCs w:val="24"/>
        </w:rPr>
        <w:t>局机关各办公室</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lang w:val="en-US" w:eastAsia="zh-CN"/>
        </w:rPr>
        <w:t>会议室</w:t>
      </w:r>
      <w:r>
        <w:rPr>
          <w:rFonts w:hint="eastAsia" w:ascii="宋体" w:hAnsi="宋体" w:eastAsia="宋体" w:cs="宋体"/>
          <w:b w:val="0"/>
          <w:i w:val="0"/>
          <w:caps w:val="0"/>
          <w:color w:val="auto"/>
          <w:spacing w:val="0"/>
          <w:w w:val="100"/>
          <w:sz w:val="24"/>
          <w:szCs w:val="24"/>
        </w:rPr>
        <w:t>。</w:t>
      </w:r>
      <w:r>
        <w:rPr>
          <w:rFonts w:hint="eastAsia" w:ascii="宋体" w:hAnsi="宋体" w:eastAsia="宋体" w:cs="宋体"/>
          <w:b w:val="0"/>
          <w:i w:val="0"/>
          <w:caps w:val="0"/>
          <w:color w:val="auto"/>
          <w:spacing w:val="0"/>
          <w:w w:val="100"/>
          <w:sz w:val="24"/>
          <w:szCs w:val="24"/>
          <w:lang w:val="en-US" w:eastAsia="zh-CN"/>
        </w:rPr>
        <w:t>办公设备包括台式电脑和笔记本电脑、打印机、复印机、扫描仪、碎纸机等。</w:t>
      </w:r>
    </w:p>
    <w:p w14:paraId="5CC80815">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left="0" w:leftChars="0" w:firstLine="482" w:firstLineChars="200"/>
        <w:jc w:val="both"/>
        <w:textAlignment w:val="baseline"/>
        <w:outlineLvl w:val="9"/>
        <w:rPr>
          <w:rFonts w:hint="eastAsia" w:ascii="宋体" w:hAnsi="宋体" w:eastAsia="宋体" w:cs="宋体"/>
          <w:b w:val="0"/>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目标</w:t>
      </w:r>
      <w:r>
        <w:rPr>
          <w:rFonts w:hint="eastAsia" w:ascii="宋体" w:hAnsi="宋体" w:eastAsia="宋体" w:cs="宋体"/>
          <w:b w:val="0"/>
          <w:i w:val="0"/>
          <w:caps w:val="0"/>
          <w:color w:val="auto"/>
          <w:spacing w:val="0"/>
          <w:w w:val="100"/>
          <w:sz w:val="24"/>
          <w:szCs w:val="24"/>
        </w:rPr>
        <w:t>：维护办公区域内</w:t>
      </w:r>
      <w:r>
        <w:rPr>
          <w:rFonts w:hint="eastAsia" w:ascii="宋体" w:hAnsi="宋体" w:eastAsia="宋体" w:cs="宋体"/>
          <w:b w:val="0"/>
          <w:i w:val="0"/>
          <w:caps w:val="0"/>
          <w:color w:val="auto"/>
          <w:spacing w:val="0"/>
          <w:w w:val="100"/>
          <w:sz w:val="24"/>
          <w:szCs w:val="24"/>
          <w:lang w:val="en-US" w:eastAsia="zh-CN"/>
        </w:rPr>
        <w:t>办公设备</w:t>
      </w:r>
      <w:r>
        <w:rPr>
          <w:rFonts w:hint="eastAsia" w:ascii="宋体" w:hAnsi="宋体" w:eastAsia="宋体" w:cs="宋体"/>
          <w:b w:val="0"/>
          <w:i w:val="0"/>
          <w:caps w:val="0"/>
          <w:color w:val="auto"/>
          <w:spacing w:val="0"/>
          <w:w w:val="100"/>
          <w:sz w:val="24"/>
          <w:szCs w:val="24"/>
        </w:rPr>
        <w:t>，安装</w:t>
      </w:r>
      <w:r>
        <w:rPr>
          <w:rFonts w:hint="eastAsia" w:ascii="宋体" w:hAnsi="宋体" w:eastAsia="宋体" w:cs="宋体"/>
          <w:b w:val="0"/>
          <w:i w:val="0"/>
          <w:caps w:val="0"/>
          <w:color w:val="auto"/>
          <w:spacing w:val="0"/>
          <w:w w:val="100"/>
          <w:sz w:val="24"/>
          <w:szCs w:val="24"/>
          <w:lang w:val="en-US" w:eastAsia="zh-CN"/>
        </w:rPr>
        <w:t>和维护</w:t>
      </w:r>
      <w:r>
        <w:rPr>
          <w:rFonts w:hint="eastAsia" w:ascii="宋体" w:hAnsi="宋体" w:eastAsia="宋体" w:cs="宋体"/>
          <w:b w:val="0"/>
          <w:i w:val="0"/>
          <w:caps w:val="0"/>
          <w:color w:val="auto"/>
          <w:spacing w:val="0"/>
          <w:w w:val="100"/>
          <w:sz w:val="24"/>
          <w:szCs w:val="24"/>
        </w:rPr>
        <w:t>操作系统，保障各办公电脑操作系统正常运行、网络正常接入；维护办公区域内打印机，保障各打印机能正常工作。</w:t>
      </w:r>
    </w:p>
    <w:p w14:paraId="144D952A">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20" w:lineRule="exact"/>
        <w:ind w:left="0" w:leftChars="0" w:firstLine="480" w:firstLineChars="200"/>
        <w:jc w:val="both"/>
        <w:textAlignment w:val="baseline"/>
        <w:outlineLvl w:val="9"/>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kern w:val="2"/>
          <w:sz w:val="24"/>
          <w:szCs w:val="24"/>
          <w:lang w:val="en-US" w:eastAsia="zh-CN" w:bidi="ar-SA"/>
        </w:rPr>
        <w:t>5、</w:t>
      </w:r>
      <w:r>
        <w:rPr>
          <w:rFonts w:hint="eastAsia" w:ascii="宋体" w:hAnsi="宋体" w:eastAsia="宋体" w:cs="宋体"/>
          <w:b/>
          <w:bCs/>
          <w:i w:val="0"/>
          <w:caps w:val="0"/>
          <w:color w:val="auto"/>
          <w:spacing w:val="0"/>
          <w:w w:val="100"/>
          <w:sz w:val="24"/>
          <w:szCs w:val="24"/>
          <w:lang w:val="en-US" w:eastAsia="zh-CN"/>
        </w:rPr>
        <w:t>网络通讯</w:t>
      </w:r>
      <w:r>
        <w:rPr>
          <w:rFonts w:hint="eastAsia" w:ascii="宋体" w:hAnsi="宋体" w:eastAsia="宋体" w:cs="宋体"/>
          <w:b/>
          <w:bCs/>
          <w:i w:val="0"/>
          <w:caps w:val="0"/>
          <w:color w:val="auto"/>
          <w:spacing w:val="0"/>
          <w:w w:val="100"/>
          <w:sz w:val="24"/>
          <w:szCs w:val="24"/>
        </w:rPr>
        <w:t>类</w:t>
      </w:r>
      <w:r>
        <w:rPr>
          <w:rFonts w:hint="eastAsia" w:ascii="宋体" w:hAnsi="宋体" w:eastAsia="宋体" w:cs="宋体"/>
          <w:b w:val="0"/>
          <w:i w:val="0"/>
          <w:caps w:val="0"/>
          <w:color w:val="auto"/>
          <w:spacing w:val="0"/>
          <w:w w:val="100"/>
          <w:sz w:val="24"/>
          <w:szCs w:val="24"/>
        </w:rPr>
        <w:t>：对</w:t>
      </w:r>
      <w:r>
        <w:rPr>
          <w:rFonts w:hint="eastAsia" w:ascii="宋体" w:hAnsi="宋体" w:eastAsia="宋体" w:cs="宋体"/>
          <w:b w:val="0"/>
          <w:i w:val="0"/>
          <w:caps w:val="0"/>
          <w:color w:val="auto"/>
          <w:spacing w:val="0"/>
          <w:w w:val="100"/>
          <w:sz w:val="24"/>
          <w:szCs w:val="24"/>
          <w:lang w:val="en-US" w:eastAsia="zh-CN"/>
        </w:rPr>
        <w:t>市应急管理局</w:t>
      </w:r>
      <w:r>
        <w:rPr>
          <w:rFonts w:hint="eastAsia" w:ascii="宋体" w:hAnsi="宋体" w:eastAsia="宋体" w:cs="宋体"/>
          <w:b w:val="0"/>
          <w:i w:val="0"/>
          <w:caps w:val="0"/>
          <w:color w:val="auto"/>
          <w:spacing w:val="0"/>
          <w:w w:val="100"/>
          <w:sz w:val="24"/>
          <w:szCs w:val="24"/>
        </w:rPr>
        <w:t>办公区域内</w:t>
      </w:r>
      <w:r>
        <w:rPr>
          <w:rFonts w:hint="eastAsia" w:ascii="宋体" w:hAnsi="宋体" w:eastAsia="宋体" w:cs="宋体"/>
          <w:b w:val="0"/>
          <w:i w:val="0"/>
          <w:caps w:val="0"/>
          <w:color w:val="auto"/>
          <w:spacing w:val="0"/>
          <w:w w:val="100"/>
          <w:sz w:val="24"/>
          <w:szCs w:val="24"/>
          <w:lang w:val="en-US" w:eastAsia="zh-CN"/>
        </w:rPr>
        <w:t>办公网络（包括专网、互联网、政务网）、电话网络进行巡检和维护，发现问题及时处理</w:t>
      </w:r>
      <w:r>
        <w:rPr>
          <w:rFonts w:hint="eastAsia" w:ascii="宋体" w:hAnsi="宋体" w:eastAsia="宋体" w:cs="宋体"/>
          <w:b w:val="0"/>
          <w:i w:val="0"/>
          <w:caps w:val="0"/>
          <w:color w:val="auto"/>
          <w:spacing w:val="0"/>
          <w:w w:val="100"/>
          <w:sz w:val="24"/>
          <w:szCs w:val="24"/>
        </w:rPr>
        <w:t>。</w:t>
      </w:r>
    </w:p>
    <w:p w14:paraId="2DA67551">
      <w:pPr>
        <w:pStyle w:val="23"/>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left="0" w:leftChars="0" w:firstLine="482" w:firstLineChars="200"/>
        <w:jc w:val="both"/>
        <w:textAlignment w:val="baseline"/>
        <w:outlineLvl w:val="9"/>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bCs/>
          <w:i w:val="0"/>
          <w:caps w:val="0"/>
          <w:color w:val="auto"/>
          <w:spacing w:val="0"/>
          <w:w w:val="100"/>
          <w:kern w:val="2"/>
          <w:sz w:val="24"/>
          <w:szCs w:val="24"/>
          <w:lang w:val="en-US" w:eastAsia="zh-CN" w:bidi="ar-SA"/>
        </w:rPr>
        <w:t>目标</w:t>
      </w:r>
      <w:r>
        <w:rPr>
          <w:rFonts w:hint="eastAsia" w:ascii="宋体" w:hAnsi="宋体" w:eastAsia="宋体" w:cs="宋体"/>
          <w:b w:val="0"/>
          <w:i w:val="0"/>
          <w:caps w:val="0"/>
          <w:color w:val="auto"/>
          <w:spacing w:val="0"/>
          <w:w w:val="100"/>
          <w:sz w:val="24"/>
          <w:szCs w:val="24"/>
          <w:lang w:val="en-US" w:eastAsia="zh-CN"/>
        </w:rPr>
        <w:t>：保证各办公电脑</w:t>
      </w:r>
      <w:r>
        <w:rPr>
          <w:rFonts w:hint="eastAsia" w:ascii="宋体" w:hAnsi="宋体" w:cs="宋体"/>
          <w:b w:val="0"/>
          <w:i w:val="0"/>
          <w:caps w:val="0"/>
          <w:color w:val="auto"/>
          <w:spacing w:val="0"/>
          <w:w w:val="100"/>
          <w:sz w:val="24"/>
          <w:szCs w:val="24"/>
          <w:lang w:val="en-US" w:eastAsia="zh-CN"/>
        </w:rPr>
        <w:t>与其他设备</w:t>
      </w:r>
      <w:r>
        <w:rPr>
          <w:rFonts w:hint="eastAsia" w:ascii="宋体" w:hAnsi="宋体" w:eastAsia="宋体" w:cs="宋体"/>
          <w:b w:val="0"/>
          <w:i w:val="0"/>
          <w:caps w:val="0"/>
          <w:color w:val="auto"/>
          <w:spacing w:val="0"/>
          <w:w w:val="100"/>
          <w:sz w:val="24"/>
          <w:szCs w:val="24"/>
          <w:lang w:val="en-US" w:eastAsia="zh-CN"/>
        </w:rPr>
        <w:t>按照业务要求接入对应网络；保障办公区域内弱电井内网络设备正常运行；保障电话线路畅通。</w:t>
      </w:r>
    </w:p>
    <w:p w14:paraId="25D31114">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20" w:lineRule="exact"/>
        <w:ind w:left="0" w:leftChars="0" w:firstLine="480" w:firstLineChars="200"/>
        <w:jc w:val="both"/>
        <w:textAlignment w:val="baseline"/>
        <w:outlineLvl w:val="9"/>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kern w:val="2"/>
          <w:sz w:val="24"/>
          <w:szCs w:val="24"/>
          <w:lang w:val="en-US" w:eastAsia="zh-CN" w:bidi="ar-SA"/>
        </w:rPr>
        <w:t>6、</w:t>
      </w:r>
      <w:r>
        <w:rPr>
          <w:rFonts w:hint="eastAsia" w:ascii="宋体" w:hAnsi="宋体" w:eastAsia="宋体" w:cs="宋体"/>
          <w:b/>
          <w:bCs/>
          <w:i w:val="0"/>
          <w:caps w:val="0"/>
          <w:color w:val="auto"/>
          <w:spacing w:val="0"/>
          <w:w w:val="100"/>
          <w:sz w:val="24"/>
          <w:szCs w:val="24"/>
        </w:rPr>
        <w:t>应急处理类</w:t>
      </w:r>
      <w:r>
        <w:rPr>
          <w:rFonts w:hint="eastAsia" w:ascii="宋体" w:hAnsi="宋体" w:eastAsia="宋体" w:cs="宋体"/>
          <w:b w:val="0"/>
          <w:i w:val="0"/>
          <w:caps w:val="0"/>
          <w:color w:val="auto"/>
          <w:spacing w:val="0"/>
          <w:w w:val="100"/>
          <w:sz w:val="24"/>
          <w:szCs w:val="24"/>
        </w:rPr>
        <w:t>：在发生影响系统运行的紧急情况时，按照业主单位要求，配合</w:t>
      </w:r>
      <w:r>
        <w:rPr>
          <w:rFonts w:hint="eastAsia" w:ascii="宋体" w:hAnsi="宋体" w:eastAsia="宋体" w:cs="宋体"/>
          <w:b w:val="0"/>
          <w:i w:val="0"/>
          <w:caps w:val="0"/>
          <w:color w:val="auto"/>
          <w:spacing w:val="0"/>
          <w:w w:val="100"/>
          <w:sz w:val="24"/>
          <w:szCs w:val="24"/>
          <w:lang w:val="en-US" w:eastAsia="zh-CN"/>
        </w:rPr>
        <w:t>网络运营商、市局信息化项目施工单位</w:t>
      </w:r>
      <w:r>
        <w:rPr>
          <w:rFonts w:hint="eastAsia" w:ascii="宋体" w:hAnsi="宋体" w:eastAsia="宋体" w:cs="宋体"/>
          <w:b w:val="0"/>
          <w:i w:val="0"/>
          <w:caps w:val="0"/>
          <w:color w:val="auto"/>
          <w:spacing w:val="0"/>
          <w:w w:val="100"/>
          <w:sz w:val="24"/>
          <w:szCs w:val="24"/>
        </w:rPr>
        <w:t>、硬件设备厂商等单位进行处理，恢复业务系统正常运行。</w:t>
      </w:r>
    </w:p>
    <w:p w14:paraId="55F37AEA">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left="0" w:leftChars="0" w:firstLine="482" w:firstLineChars="200"/>
        <w:jc w:val="both"/>
        <w:textAlignment w:val="baseline"/>
        <w:outlineLvl w:val="9"/>
        <w:rPr>
          <w:rFonts w:hint="eastAsia" w:ascii="宋体" w:hAnsi="宋体" w:eastAsia="宋体" w:cs="宋体"/>
          <w:b w:val="0"/>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目标</w:t>
      </w:r>
      <w:r>
        <w:rPr>
          <w:rFonts w:hint="eastAsia" w:ascii="宋体" w:hAnsi="宋体" w:eastAsia="宋体" w:cs="宋体"/>
          <w:b w:val="0"/>
          <w:i w:val="0"/>
          <w:caps w:val="0"/>
          <w:color w:val="auto"/>
          <w:spacing w:val="0"/>
          <w:w w:val="100"/>
          <w:sz w:val="24"/>
          <w:szCs w:val="24"/>
        </w:rPr>
        <w:t>：在发生紧急情况时，及时向业务单位汇报，按照业务单位应急处置预案，与相关单位配合制定处理方案，经业务单位同意后实施，恢复业务系统正常运行。</w:t>
      </w:r>
    </w:p>
    <w:p w14:paraId="2889CD86">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482" w:firstLineChars="200"/>
        <w:jc w:val="both"/>
        <w:textAlignment w:val="baseline"/>
        <w:outlineLvl w:val="9"/>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lang w:val="en-US" w:eastAsia="zh-CN"/>
        </w:rPr>
        <w:t>三</w:t>
      </w:r>
      <w:r>
        <w:rPr>
          <w:rFonts w:hint="eastAsia" w:ascii="宋体" w:hAnsi="宋体" w:eastAsia="宋体" w:cs="宋体"/>
          <w:b/>
          <w:bCs/>
          <w:i w:val="0"/>
          <w:caps w:val="0"/>
          <w:color w:val="auto"/>
          <w:spacing w:val="0"/>
          <w:w w:val="100"/>
          <w:sz w:val="24"/>
          <w:szCs w:val="24"/>
        </w:rPr>
        <w:t>、服务要求</w:t>
      </w:r>
    </w:p>
    <w:p w14:paraId="29F10D89">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20" w:lineRule="exact"/>
        <w:ind w:firstLine="480" w:firstLineChars="200"/>
        <w:jc w:val="both"/>
        <w:textAlignment w:val="baseline"/>
        <w:outlineLvl w:val="9"/>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kern w:val="2"/>
          <w:sz w:val="24"/>
          <w:szCs w:val="24"/>
          <w:lang w:val="en-US" w:eastAsia="zh-CN" w:bidi="ar-SA"/>
        </w:rPr>
        <w:t>1、</w:t>
      </w:r>
      <w:r>
        <w:rPr>
          <w:rFonts w:hint="eastAsia" w:ascii="宋体" w:hAnsi="宋体" w:eastAsia="宋体" w:cs="宋体"/>
          <w:b w:val="0"/>
          <w:bCs/>
          <w:i w:val="0"/>
          <w:caps w:val="0"/>
          <w:color w:val="auto"/>
          <w:spacing w:val="0"/>
          <w:w w:val="100"/>
          <w:sz w:val="24"/>
          <w:szCs w:val="24"/>
          <w:lang w:eastAsia="zh-CN"/>
        </w:rPr>
        <w:t>服务供应商</w:t>
      </w:r>
      <w:r>
        <w:rPr>
          <w:rFonts w:hint="eastAsia" w:ascii="宋体" w:hAnsi="宋体" w:eastAsia="宋体" w:cs="宋体"/>
          <w:b w:val="0"/>
          <w:bCs/>
          <w:i w:val="0"/>
          <w:caps w:val="0"/>
          <w:color w:val="auto"/>
          <w:spacing w:val="0"/>
          <w:w w:val="100"/>
          <w:sz w:val="24"/>
          <w:szCs w:val="24"/>
        </w:rPr>
        <w:t>必须</w:t>
      </w:r>
      <w:r>
        <w:rPr>
          <w:rFonts w:hint="eastAsia" w:ascii="宋体" w:hAnsi="宋体" w:eastAsia="宋体" w:cs="宋体"/>
          <w:b w:val="0"/>
          <w:bCs/>
          <w:i w:val="0"/>
          <w:caps w:val="0"/>
          <w:color w:val="auto"/>
          <w:spacing w:val="0"/>
          <w:w w:val="100"/>
          <w:sz w:val="24"/>
          <w:szCs w:val="24"/>
          <w:lang w:val="en-US" w:eastAsia="zh-CN"/>
        </w:rPr>
        <w:t>保证提供</w:t>
      </w:r>
      <w:r>
        <w:rPr>
          <w:rFonts w:hint="eastAsia" w:ascii="宋体" w:hAnsi="宋体" w:eastAsia="宋体" w:cs="宋体"/>
          <w:b w:val="0"/>
          <w:bCs/>
          <w:i w:val="0"/>
          <w:caps w:val="0"/>
          <w:color w:val="auto"/>
          <w:spacing w:val="0"/>
          <w:w w:val="100"/>
          <w:sz w:val="24"/>
          <w:szCs w:val="24"/>
        </w:rPr>
        <w:t>有资质的1名技术人员</w:t>
      </w:r>
      <w:r>
        <w:rPr>
          <w:rFonts w:hint="eastAsia" w:ascii="宋体" w:hAnsi="宋体" w:eastAsia="宋体" w:cs="宋体"/>
          <w:b w:val="0"/>
          <w:bCs/>
          <w:i w:val="0"/>
          <w:caps w:val="0"/>
          <w:color w:val="auto"/>
          <w:spacing w:val="0"/>
          <w:w w:val="100"/>
          <w:sz w:val="24"/>
          <w:szCs w:val="24"/>
          <w:lang w:val="en-US" w:eastAsia="zh-CN"/>
        </w:rPr>
        <w:t>7X24小时随时待命</w:t>
      </w:r>
      <w:r>
        <w:rPr>
          <w:rFonts w:hint="eastAsia" w:ascii="宋体" w:hAnsi="宋体" w:eastAsia="宋体" w:cs="宋体"/>
          <w:b w:val="0"/>
          <w:bCs/>
          <w:i w:val="0"/>
          <w:caps w:val="0"/>
          <w:color w:val="auto"/>
          <w:spacing w:val="0"/>
          <w:w w:val="100"/>
          <w:sz w:val="24"/>
          <w:szCs w:val="24"/>
        </w:rPr>
        <w:t>，</w:t>
      </w:r>
      <w:r>
        <w:rPr>
          <w:rFonts w:hint="eastAsia" w:ascii="宋体" w:hAnsi="宋体" w:eastAsia="宋体" w:cs="宋体"/>
          <w:b w:val="0"/>
          <w:bCs/>
          <w:i w:val="0"/>
          <w:caps w:val="0"/>
          <w:color w:val="auto"/>
          <w:spacing w:val="0"/>
          <w:w w:val="100"/>
          <w:sz w:val="24"/>
          <w:szCs w:val="24"/>
          <w:lang w:eastAsia="zh-CN"/>
        </w:rPr>
        <w:t>服务供应商</w:t>
      </w:r>
      <w:r>
        <w:rPr>
          <w:rFonts w:hint="eastAsia" w:ascii="宋体" w:hAnsi="宋体" w:eastAsia="宋体" w:cs="宋体"/>
          <w:b w:val="0"/>
          <w:bCs/>
          <w:i w:val="0"/>
          <w:caps w:val="0"/>
          <w:color w:val="auto"/>
          <w:spacing w:val="0"/>
          <w:w w:val="100"/>
          <w:sz w:val="24"/>
          <w:szCs w:val="24"/>
        </w:rPr>
        <w:t>必须保证</w:t>
      </w:r>
      <w:r>
        <w:rPr>
          <w:rFonts w:hint="eastAsia" w:ascii="宋体" w:hAnsi="宋体" w:eastAsia="宋体" w:cs="宋体"/>
          <w:b w:val="0"/>
          <w:bCs/>
          <w:i w:val="0"/>
          <w:caps w:val="0"/>
          <w:color w:val="auto"/>
          <w:spacing w:val="0"/>
          <w:w w:val="100"/>
          <w:sz w:val="24"/>
          <w:szCs w:val="24"/>
          <w:lang w:val="en-US" w:eastAsia="zh-CN"/>
        </w:rPr>
        <w:t>组建</w:t>
      </w:r>
      <w:r>
        <w:rPr>
          <w:rFonts w:hint="eastAsia" w:ascii="宋体" w:hAnsi="宋体" w:eastAsia="宋体" w:cs="宋体"/>
          <w:b w:val="0"/>
          <w:bCs/>
          <w:i w:val="0"/>
          <w:caps w:val="0"/>
          <w:color w:val="auto"/>
          <w:spacing w:val="0"/>
          <w:w w:val="100"/>
          <w:sz w:val="24"/>
          <w:szCs w:val="24"/>
        </w:rPr>
        <w:t>至少</w:t>
      </w:r>
      <w:r>
        <w:rPr>
          <w:rFonts w:hint="eastAsia" w:ascii="宋体" w:hAnsi="宋体" w:eastAsia="宋体" w:cs="宋体"/>
          <w:b w:val="0"/>
          <w:bCs/>
          <w:i w:val="0"/>
          <w:caps w:val="0"/>
          <w:color w:val="auto"/>
          <w:spacing w:val="0"/>
          <w:w w:val="100"/>
          <w:sz w:val="24"/>
          <w:szCs w:val="24"/>
          <w:lang w:val="en-US"/>
        </w:rPr>
        <w:t>3</w:t>
      </w:r>
      <w:r>
        <w:rPr>
          <w:rFonts w:hint="eastAsia" w:ascii="宋体" w:hAnsi="宋体" w:eastAsia="宋体" w:cs="宋体"/>
          <w:b w:val="0"/>
          <w:bCs/>
          <w:i w:val="0"/>
          <w:caps w:val="0"/>
          <w:color w:val="auto"/>
          <w:spacing w:val="0"/>
          <w:w w:val="100"/>
          <w:sz w:val="24"/>
          <w:szCs w:val="24"/>
        </w:rPr>
        <w:t>人或以上的技术团队</w:t>
      </w:r>
      <w:r>
        <w:rPr>
          <w:rFonts w:hint="eastAsia" w:ascii="宋体" w:hAnsi="宋体" w:eastAsia="宋体" w:cs="宋体"/>
          <w:b w:val="0"/>
          <w:bCs/>
          <w:i w:val="0"/>
          <w:caps w:val="0"/>
          <w:color w:val="auto"/>
          <w:spacing w:val="0"/>
          <w:w w:val="100"/>
          <w:sz w:val="24"/>
          <w:szCs w:val="24"/>
          <w:lang w:val="en-US" w:eastAsia="zh-CN"/>
        </w:rPr>
        <w:t>提供</w:t>
      </w:r>
      <w:r>
        <w:rPr>
          <w:rFonts w:hint="eastAsia" w:ascii="宋体" w:hAnsi="宋体" w:eastAsia="宋体" w:cs="宋体"/>
          <w:b w:val="0"/>
          <w:bCs/>
          <w:i w:val="0"/>
          <w:caps w:val="0"/>
          <w:color w:val="auto"/>
          <w:spacing w:val="0"/>
          <w:w w:val="100"/>
          <w:sz w:val="24"/>
          <w:szCs w:val="24"/>
        </w:rPr>
        <w:t>支持服务 。</w:t>
      </w:r>
    </w:p>
    <w:p w14:paraId="181CD844">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20" w:lineRule="exact"/>
        <w:ind w:firstLine="480" w:firstLineChars="200"/>
        <w:jc w:val="both"/>
        <w:textAlignment w:val="baseline"/>
        <w:outlineLvl w:val="9"/>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kern w:val="2"/>
          <w:sz w:val="24"/>
          <w:szCs w:val="24"/>
          <w:lang w:val="en-US" w:eastAsia="zh-CN" w:bidi="ar-SA"/>
        </w:rPr>
        <w:t>2、</w:t>
      </w:r>
      <w:r>
        <w:rPr>
          <w:rFonts w:hint="eastAsia" w:ascii="宋体" w:hAnsi="宋体" w:eastAsia="宋体" w:cs="宋体"/>
          <w:b w:val="0"/>
          <w:i w:val="0"/>
          <w:caps w:val="0"/>
          <w:color w:val="auto"/>
          <w:spacing w:val="0"/>
          <w:w w:val="100"/>
          <w:sz w:val="24"/>
          <w:szCs w:val="24"/>
        </w:rPr>
        <w:t>在本行业具有良好的业绩和丰富的经验，了解、熟悉业主单位网络、服务器配置、业务情况、</w:t>
      </w:r>
      <w:r>
        <w:rPr>
          <w:rFonts w:hint="eastAsia" w:ascii="宋体" w:hAnsi="宋体" w:eastAsia="宋体" w:cs="宋体"/>
          <w:b w:val="0"/>
          <w:i w:val="0"/>
          <w:caps w:val="0"/>
          <w:color w:val="auto"/>
          <w:spacing w:val="0"/>
          <w:w w:val="100"/>
          <w:sz w:val="24"/>
          <w:szCs w:val="24"/>
          <w:lang w:val="en-US" w:eastAsia="zh-CN"/>
        </w:rPr>
        <w:t>设备间</w:t>
      </w:r>
      <w:r>
        <w:rPr>
          <w:rFonts w:hint="eastAsia" w:ascii="宋体" w:hAnsi="宋体" w:eastAsia="宋体" w:cs="宋体"/>
          <w:b w:val="0"/>
          <w:i w:val="0"/>
          <w:caps w:val="0"/>
          <w:color w:val="auto"/>
          <w:spacing w:val="0"/>
          <w:w w:val="100"/>
          <w:sz w:val="24"/>
          <w:szCs w:val="24"/>
        </w:rPr>
        <w:t>等环境。</w:t>
      </w:r>
    </w:p>
    <w:p w14:paraId="2A099D80">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20" w:lineRule="exact"/>
        <w:ind w:firstLine="480" w:firstLineChars="200"/>
        <w:jc w:val="both"/>
        <w:textAlignment w:val="baseline"/>
        <w:outlineLvl w:val="9"/>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kern w:val="2"/>
          <w:sz w:val="24"/>
          <w:szCs w:val="24"/>
          <w:lang w:val="en-US" w:eastAsia="zh-CN" w:bidi="ar-SA"/>
        </w:rPr>
        <w:t>3、</w:t>
      </w:r>
      <w:r>
        <w:rPr>
          <w:rFonts w:hint="eastAsia" w:ascii="宋体" w:hAnsi="宋体" w:eastAsia="宋体" w:cs="宋体"/>
          <w:b w:val="0"/>
          <w:i w:val="0"/>
          <w:caps w:val="0"/>
          <w:color w:val="auto"/>
          <w:spacing w:val="0"/>
          <w:w w:val="100"/>
          <w:sz w:val="24"/>
          <w:szCs w:val="24"/>
        </w:rPr>
        <w:t>在服务对象所在地设有常驻服务机构,且规模及技术实力满足本项目要求。</w:t>
      </w:r>
    </w:p>
    <w:p w14:paraId="543513EF">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20" w:lineRule="exact"/>
        <w:ind w:firstLine="480" w:firstLineChars="200"/>
        <w:jc w:val="both"/>
        <w:textAlignment w:val="baseline"/>
        <w:outlineLvl w:val="9"/>
        <w:rPr>
          <w:rFonts w:hint="eastAsia" w:ascii="宋体" w:hAnsi="宋体" w:eastAsia="宋体" w:cs="宋体"/>
          <w:b/>
          <w:i w:val="0"/>
          <w:caps w:val="0"/>
          <w:color w:val="auto"/>
          <w:spacing w:val="0"/>
          <w:w w:val="100"/>
          <w:sz w:val="24"/>
          <w:szCs w:val="24"/>
        </w:rPr>
      </w:pPr>
      <w:r>
        <w:rPr>
          <w:rFonts w:hint="eastAsia" w:ascii="宋体" w:hAnsi="宋体" w:eastAsia="宋体" w:cs="宋体"/>
          <w:b w:val="0"/>
          <w:bCs/>
          <w:i w:val="0"/>
          <w:caps w:val="0"/>
          <w:color w:val="auto"/>
          <w:spacing w:val="0"/>
          <w:w w:val="100"/>
          <w:kern w:val="2"/>
          <w:sz w:val="24"/>
          <w:szCs w:val="24"/>
          <w:lang w:val="en-US" w:eastAsia="zh-CN" w:bidi="ar-SA"/>
        </w:rPr>
        <w:t>4、</w:t>
      </w:r>
      <w:r>
        <w:rPr>
          <w:rFonts w:hint="eastAsia" w:ascii="宋体" w:hAnsi="宋体" w:eastAsia="宋体" w:cs="宋体"/>
          <w:b w:val="0"/>
          <w:i w:val="0"/>
          <w:caps w:val="0"/>
          <w:color w:val="auto"/>
          <w:spacing w:val="0"/>
          <w:w w:val="100"/>
          <w:sz w:val="24"/>
          <w:szCs w:val="24"/>
        </w:rPr>
        <w:t>服务商须在业主单位现场提供一套齐备优质的工具，以方便双方对设备进行维护维修。</w:t>
      </w:r>
      <w:r>
        <w:rPr>
          <w:rFonts w:hint="eastAsia" w:ascii="宋体" w:hAnsi="宋体" w:eastAsia="宋体" w:cs="宋体"/>
          <w:b/>
          <w:i w:val="0"/>
          <w:caps w:val="0"/>
          <w:color w:val="auto"/>
          <w:spacing w:val="0"/>
          <w:w w:val="100"/>
          <w:sz w:val="24"/>
          <w:szCs w:val="24"/>
        </w:rPr>
        <w:t xml:space="preserve">    </w:t>
      </w:r>
    </w:p>
    <w:p w14:paraId="221F6F36">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2" w:firstLineChars="200"/>
        <w:jc w:val="both"/>
        <w:textAlignment w:val="baseline"/>
        <w:outlineLvl w:val="9"/>
        <w:rPr>
          <w:rFonts w:hint="eastAsia" w:ascii="宋体" w:hAnsi="宋体" w:eastAsia="宋体" w:cs="宋体"/>
          <w:b w:val="0"/>
          <w:bCs/>
          <w:i w:val="0"/>
          <w:caps w:val="0"/>
          <w:color w:val="auto"/>
          <w:spacing w:val="0"/>
          <w:w w:val="100"/>
          <w:sz w:val="24"/>
          <w:szCs w:val="24"/>
          <w:lang w:val="en-US" w:eastAsia="zh-CN"/>
        </w:rPr>
      </w:pPr>
      <w:r>
        <w:rPr>
          <w:rFonts w:hint="eastAsia" w:ascii="宋体" w:hAnsi="宋体" w:eastAsia="宋体" w:cs="宋体"/>
          <w:b/>
          <w:i w:val="0"/>
          <w:caps w:val="0"/>
          <w:color w:val="auto"/>
          <w:spacing w:val="0"/>
          <w:w w:val="100"/>
          <w:sz w:val="24"/>
          <w:szCs w:val="24"/>
          <w:lang w:val="en-US" w:eastAsia="zh-CN"/>
        </w:rPr>
        <w:t>四</w:t>
      </w:r>
      <w:r>
        <w:rPr>
          <w:rFonts w:hint="eastAsia" w:ascii="宋体" w:hAnsi="宋体" w:eastAsia="宋体" w:cs="宋体"/>
          <w:b/>
          <w:i w:val="0"/>
          <w:caps w:val="0"/>
          <w:color w:val="auto"/>
          <w:spacing w:val="0"/>
          <w:w w:val="100"/>
          <w:sz w:val="24"/>
          <w:szCs w:val="24"/>
        </w:rPr>
        <w:t>、</w:t>
      </w:r>
      <w:r>
        <w:rPr>
          <w:rFonts w:hint="eastAsia" w:ascii="宋体" w:hAnsi="宋体" w:eastAsia="宋体" w:cs="宋体"/>
          <w:b/>
          <w:i w:val="0"/>
          <w:caps w:val="0"/>
          <w:color w:val="auto"/>
          <w:spacing w:val="0"/>
          <w:w w:val="100"/>
          <w:sz w:val="24"/>
          <w:szCs w:val="24"/>
          <w:lang w:eastAsia="zh-CN"/>
        </w:rPr>
        <w:t>服务</w:t>
      </w:r>
      <w:r>
        <w:rPr>
          <w:rFonts w:hint="eastAsia" w:ascii="宋体" w:hAnsi="宋体" w:eastAsia="宋体" w:cs="宋体"/>
          <w:b/>
          <w:i w:val="0"/>
          <w:caps w:val="0"/>
          <w:color w:val="auto"/>
          <w:spacing w:val="0"/>
          <w:w w:val="100"/>
          <w:sz w:val="24"/>
          <w:szCs w:val="24"/>
          <w:lang w:val="en-US" w:eastAsia="zh-CN"/>
        </w:rPr>
        <w:t>方</w:t>
      </w:r>
      <w:r>
        <w:rPr>
          <w:rFonts w:hint="eastAsia" w:ascii="宋体" w:hAnsi="宋体" w:eastAsia="宋体" w:cs="宋体"/>
          <w:b/>
          <w:i w:val="0"/>
          <w:caps w:val="0"/>
          <w:color w:val="auto"/>
          <w:spacing w:val="0"/>
          <w:w w:val="100"/>
          <w:sz w:val="24"/>
          <w:szCs w:val="24"/>
        </w:rPr>
        <w:t xml:space="preserve">式 </w:t>
      </w:r>
    </w:p>
    <w:p w14:paraId="7A95AE8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jc w:val="both"/>
        <w:textAlignment w:val="baseline"/>
        <w:outlineLvl w:val="9"/>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kern w:val="2"/>
          <w:sz w:val="24"/>
          <w:szCs w:val="24"/>
          <w:lang w:val="en-US" w:eastAsia="zh-CN" w:bidi="ar-SA"/>
        </w:rPr>
        <w:t>1、</w:t>
      </w:r>
      <w:r>
        <w:rPr>
          <w:rFonts w:hint="eastAsia" w:ascii="宋体" w:hAnsi="宋体" w:eastAsia="宋体" w:cs="宋体"/>
          <w:b w:val="0"/>
          <w:bCs/>
          <w:i w:val="0"/>
          <w:caps w:val="0"/>
          <w:color w:val="auto"/>
          <w:spacing w:val="0"/>
          <w:w w:val="100"/>
          <w:sz w:val="24"/>
          <w:szCs w:val="24"/>
        </w:rPr>
        <w:t>常规服务：</w:t>
      </w:r>
      <w:r>
        <w:rPr>
          <w:rFonts w:hint="eastAsia" w:ascii="宋体" w:hAnsi="宋体" w:eastAsia="宋体" w:cs="宋体"/>
          <w:b w:val="0"/>
          <w:bCs/>
          <w:i w:val="0"/>
          <w:caps w:val="0"/>
          <w:color w:val="auto"/>
          <w:spacing w:val="0"/>
          <w:w w:val="100"/>
          <w:sz w:val="24"/>
          <w:szCs w:val="24"/>
          <w:lang w:eastAsia="zh-CN"/>
        </w:rPr>
        <w:t>服务供应商</w:t>
      </w:r>
      <w:r>
        <w:rPr>
          <w:rFonts w:hint="eastAsia" w:ascii="宋体" w:hAnsi="宋体" w:eastAsia="宋体" w:cs="宋体"/>
          <w:b w:val="0"/>
          <w:bCs/>
          <w:i w:val="0"/>
          <w:caps w:val="0"/>
          <w:color w:val="auto"/>
          <w:spacing w:val="0"/>
          <w:w w:val="100"/>
          <w:sz w:val="24"/>
          <w:szCs w:val="24"/>
        </w:rPr>
        <w:t>通过现场、电话、远程等方式提供7</w:t>
      </w:r>
      <w:r>
        <w:rPr>
          <w:rFonts w:hint="eastAsia" w:ascii="宋体" w:hAnsi="宋体" w:eastAsia="宋体" w:cs="宋体"/>
          <w:b w:val="0"/>
          <w:bCs/>
          <w:i w:val="0"/>
          <w:caps w:val="0"/>
          <w:color w:val="auto"/>
          <w:spacing w:val="0"/>
          <w:w w:val="100"/>
          <w:sz w:val="24"/>
          <w:szCs w:val="24"/>
          <w:lang w:val="en-US" w:eastAsia="zh-CN"/>
        </w:rPr>
        <w:t>天</w:t>
      </w:r>
      <w:r>
        <w:rPr>
          <w:rFonts w:hint="eastAsia" w:ascii="宋体" w:hAnsi="宋体" w:eastAsia="宋体" w:cs="宋体"/>
          <w:b w:val="0"/>
          <w:bCs/>
          <w:i w:val="0"/>
          <w:caps w:val="0"/>
          <w:color w:val="auto"/>
          <w:spacing w:val="0"/>
          <w:w w:val="100"/>
          <w:sz w:val="24"/>
          <w:szCs w:val="24"/>
        </w:rPr>
        <w:t>*</w:t>
      </w:r>
      <w:r>
        <w:rPr>
          <w:rFonts w:hint="eastAsia" w:ascii="宋体" w:hAnsi="宋体" w:eastAsia="宋体" w:cs="宋体"/>
          <w:b w:val="0"/>
          <w:bCs/>
          <w:i w:val="0"/>
          <w:caps w:val="0"/>
          <w:color w:val="auto"/>
          <w:spacing w:val="0"/>
          <w:w w:val="100"/>
          <w:sz w:val="24"/>
          <w:szCs w:val="24"/>
          <w:lang w:val="en-US" w:eastAsia="zh-CN"/>
        </w:rPr>
        <w:t>24小时</w:t>
      </w:r>
      <w:r>
        <w:rPr>
          <w:rFonts w:hint="eastAsia" w:ascii="宋体" w:hAnsi="宋体" w:eastAsia="宋体" w:cs="宋体"/>
          <w:b w:val="0"/>
          <w:bCs/>
          <w:i w:val="0"/>
          <w:caps w:val="0"/>
          <w:color w:val="auto"/>
          <w:spacing w:val="0"/>
          <w:w w:val="100"/>
          <w:sz w:val="24"/>
          <w:szCs w:val="24"/>
        </w:rPr>
        <w:t>日常技术支持和服务，支持范围包括问题提交、问题远程指导、分析和排除及使用中遇到的技术问题的咨询等，</w:t>
      </w:r>
      <w:r>
        <w:rPr>
          <w:rFonts w:hint="eastAsia" w:ascii="宋体" w:hAnsi="宋体" w:eastAsia="宋体" w:cs="宋体"/>
          <w:b w:val="0"/>
          <w:bCs/>
          <w:i w:val="0"/>
          <w:caps w:val="0"/>
          <w:color w:val="auto"/>
          <w:spacing w:val="0"/>
          <w:w w:val="100"/>
          <w:sz w:val="24"/>
          <w:szCs w:val="24"/>
          <w:lang w:eastAsia="zh-CN"/>
        </w:rPr>
        <w:t>服务供应商</w:t>
      </w:r>
      <w:r>
        <w:rPr>
          <w:rFonts w:hint="eastAsia" w:ascii="宋体" w:hAnsi="宋体" w:eastAsia="宋体" w:cs="宋体"/>
          <w:b w:val="0"/>
          <w:bCs/>
          <w:i w:val="0"/>
          <w:caps w:val="0"/>
          <w:color w:val="auto"/>
          <w:spacing w:val="0"/>
          <w:w w:val="100"/>
          <w:sz w:val="24"/>
          <w:szCs w:val="24"/>
        </w:rPr>
        <w:t>需在规定时间内响应。</w:t>
      </w:r>
    </w:p>
    <w:p w14:paraId="5E35CFE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jc w:val="both"/>
        <w:textAlignment w:val="baseline"/>
        <w:outlineLvl w:val="9"/>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kern w:val="2"/>
          <w:sz w:val="24"/>
          <w:szCs w:val="24"/>
          <w:lang w:val="en-US" w:eastAsia="zh-CN" w:bidi="ar-SA"/>
        </w:rPr>
        <w:t>2、</w:t>
      </w:r>
      <w:r>
        <w:rPr>
          <w:rFonts w:hint="eastAsia" w:ascii="宋体" w:hAnsi="宋体" w:eastAsia="宋体" w:cs="宋体"/>
          <w:b w:val="0"/>
          <w:bCs/>
          <w:i w:val="0"/>
          <w:caps w:val="0"/>
          <w:color w:val="auto"/>
          <w:spacing w:val="0"/>
          <w:w w:val="100"/>
          <w:sz w:val="24"/>
          <w:szCs w:val="24"/>
        </w:rPr>
        <w:t>故障解决服务：当业主单位发现设备故障报修时，</w:t>
      </w:r>
      <w:r>
        <w:rPr>
          <w:rFonts w:hint="eastAsia" w:ascii="宋体" w:hAnsi="宋体" w:eastAsia="宋体" w:cs="宋体"/>
          <w:b w:val="0"/>
          <w:bCs/>
          <w:i w:val="0"/>
          <w:caps w:val="0"/>
          <w:color w:val="auto"/>
          <w:spacing w:val="0"/>
          <w:w w:val="100"/>
          <w:sz w:val="24"/>
          <w:szCs w:val="24"/>
          <w:lang w:val="en-US" w:eastAsia="zh-CN"/>
        </w:rPr>
        <w:t>服务供应商</w:t>
      </w:r>
      <w:r>
        <w:rPr>
          <w:rFonts w:hint="eastAsia" w:ascii="宋体" w:hAnsi="宋体" w:eastAsia="宋体" w:cs="宋体"/>
          <w:b w:val="0"/>
          <w:bCs/>
          <w:i w:val="0"/>
          <w:caps w:val="0"/>
          <w:color w:val="auto"/>
          <w:spacing w:val="0"/>
          <w:w w:val="100"/>
          <w:sz w:val="24"/>
          <w:szCs w:val="24"/>
        </w:rPr>
        <w:t>需及时响应并进行故障诊断及维修，尽快恢复设备可用状态。对未明确原因的故障、非本项目服务范围的故障，协助业主单位和相</w:t>
      </w:r>
      <w:r>
        <w:rPr>
          <w:rFonts w:hint="eastAsia" w:ascii="宋体" w:hAnsi="宋体" w:eastAsia="宋体" w:cs="宋体"/>
          <w:b w:val="0"/>
          <w:i w:val="0"/>
          <w:caps w:val="0"/>
          <w:color w:val="auto"/>
          <w:spacing w:val="0"/>
          <w:w w:val="100"/>
          <w:sz w:val="24"/>
          <w:szCs w:val="24"/>
        </w:rPr>
        <w:t>关专业公司进行排查、解决。</w:t>
      </w:r>
    </w:p>
    <w:p w14:paraId="65F17D4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jc w:val="both"/>
        <w:textAlignment w:val="baseline"/>
        <w:outlineLvl w:val="9"/>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kern w:val="2"/>
          <w:sz w:val="24"/>
          <w:szCs w:val="24"/>
          <w:lang w:val="en-US" w:eastAsia="zh-CN" w:bidi="ar-SA"/>
        </w:rPr>
        <w:t>3、</w:t>
      </w:r>
      <w:r>
        <w:rPr>
          <w:rFonts w:hint="eastAsia" w:ascii="宋体" w:hAnsi="宋体" w:eastAsia="宋体" w:cs="宋体"/>
          <w:b w:val="0"/>
          <w:bCs/>
          <w:i w:val="0"/>
          <w:caps w:val="0"/>
          <w:color w:val="auto"/>
          <w:spacing w:val="0"/>
          <w:w w:val="100"/>
          <w:sz w:val="24"/>
          <w:szCs w:val="24"/>
        </w:rPr>
        <w:t>重要时段保障服务：根据业主单位需要，在特殊时段（如：重要会议、</w:t>
      </w:r>
      <w:r>
        <w:rPr>
          <w:rFonts w:hint="eastAsia" w:ascii="宋体" w:hAnsi="宋体" w:eastAsia="宋体" w:cs="宋体"/>
          <w:b w:val="0"/>
          <w:bCs/>
          <w:i w:val="0"/>
          <w:caps w:val="0"/>
          <w:color w:val="auto"/>
          <w:spacing w:val="0"/>
          <w:w w:val="100"/>
          <w:sz w:val="24"/>
          <w:szCs w:val="24"/>
          <w:lang w:val="en-US" w:eastAsia="zh-CN"/>
        </w:rPr>
        <w:t>重大事故灾害</w:t>
      </w:r>
      <w:r>
        <w:rPr>
          <w:rFonts w:hint="eastAsia" w:ascii="宋体" w:hAnsi="宋体" w:eastAsia="宋体" w:cs="宋体"/>
          <w:b w:val="0"/>
          <w:bCs/>
          <w:i w:val="0"/>
          <w:caps w:val="0"/>
          <w:color w:val="auto"/>
          <w:spacing w:val="0"/>
          <w:w w:val="100"/>
          <w:sz w:val="24"/>
          <w:szCs w:val="24"/>
        </w:rPr>
        <w:t>等业主单位认定的特殊时段）提供7X24小时现场值守支持服务，以及二线7X24小时响应服务。</w:t>
      </w:r>
    </w:p>
    <w:p w14:paraId="0BD798C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jc w:val="both"/>
        <w:textAlignment w:val="baseline"/>
        <w:outlineLvl w:val="9"/>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kern w:val="2"/>
          <w:sz w:val="24"/>
          <w:szCs w:val="24"/>
          <w:lang w:val="en-US" w:eastAsia="zh-CN" w:bidi="ar-SA"/>
        </w:rPr>
        <w:t>5、</w:t>
      </w:r>
      <w:r>
        <w:rPr>
          <w:rFonts w:hint="eastAsia" w:ascii="宋体" w:hAnsi="宋体" w:eastAsia="宋体" w:cs="宋体"/>
          <w:b w:val="0"/>
          <w:bCs/>
          <w:i w:val="0"/>
          <w:caps w:val="0"/>
          <w:color w:val="auto"/>
          <w:spacing w:val="0"/>
          <w:w w:val="100"/>
          <w:sz w:val="24"/>
          <w:szCs w:val="24"/>
        </w:rPr>
        <w:t>定期维护服务：</w:t>
      </w:r>
      <w:r>
        <w:rPr>
          <w:rFonts w:hint="eastAsia" w:ascii="宋体" w:hAnsi="宋体" w:eastAsia="宋体" w:cs="宋体"/>
          <w:b w:val="0"/>
          <w:bCs/>
          <w:i w:val="0"/>
          <w:caps w:val="0"/>
          <w:color w:val="auto"/>
          <w:spacing w:val="0"/>
          <w:w w:val="100"/>
          <w:sz w:val="24"/>
          <w:szCs w:val="24"/>
          <w:lang w:eastAsia="zh-CN"/>
        </w:rPr>
        <w:t>服务供应商</w:t>
      </w:r>
      <w:r>
        <w:rPr>
          <w:rFonts w:hint="eastAsia" w:ascii="宋体" w:hAnsi="宋体" w:eastAsia="宋体" w:cs="宋体"/>
          <w:b w:val="0"/>
          <w:bCs/>
          <w:i w:val="0"/>
          <w:caps w:val="0"/>
          <w:color w:val="auto"/>
          <w:spacing w:val="0"/>
          <w:w w:val="100"/>
          <w:sz w:val="24"/>
          <w:szCs w:val="24"/>
          <w:lang w:val="en-US" w:eastAsia="zh-CN"/>
        </w:rPr>
        <w:t>按要求</w:t>
      </w:r>
      <w:r>
        <w:rPr>
          <w:rFonts w:hint="eastAsia" w:ascii="宋体" w:hAnsi="宋体" w:eastAsia="宋体" w:cs="宋体"/>
          <w:b w:val="0"/>
          <w:bCs/>
          <w:i w:val="0"/>
          <w:caps w:val="0"/>
          <w:color w:val="auto"/>
          <w:spacing w:val="0"/>
          <w:w w:val="100"/>
          <w:sz w:val="24"/>
          <w:szCs w:val="24"/>
        </w:rPr>
        <w:t>对设备现场进行巡检或预防性维护，查看各设备</w:t>
      </w:r>
      <w:r>
        <w:rPr>
          <w:rFonts w:hint="eastAsia" w:ascii="宋体" w:hAnsi="宋体" w:eastAsia="宋体" w:cs="宋体"/>
          <w:b w:val="0"/>
          <w:bCs/>
          <w:i w:val="0"/>
          <w:caps w:val="0"/>
          <w:color w:val="auto"/>
          <w:spacing w:val="0"/>
          <w:w w:val="100"/>
          <w:sz w:val="24"/>
          <w:szCs w:val="24"/>
          <w:lang w:eastAsia="zh-CN"/>
        </w:rPr>
        <w:t>、</w:t>
      </w:r>
      <w:r>
        <w:rPr>
          <w:rFonts w:hint="eastAsia" w:ascii="宋体" w:hAnsi="宋体" w:eastAsia="宋体" w:cs="宋体"/>
          <w:b w:val="0"/>
          <w:bCs/>
          <w:i w:val="0"/>
          <w:caps w:val="0"/>
          <w:color w:val="auto"/>
          <w:spacing w:val="0"/>
          <w:w w:val="100"/>
          <w:sz w:val="24"/>
          <w:szCs w:val="24"/>
          <w:lang w:val="en-US" w:eastAsia="zh-CN"/>
        </w:rPr>
        <w:t>网络、软件</w:t>
      </w:r>
      <w:r>
        <w:rPr>
          <w:rFonts w:hint="eastAsia" w:ascii="宋体" w:hAnsi="宋体" w:eastAsia="宋体" w:cs="宋体"/>
          <w:b w:val="0"/>
          <w:bCs/>
          <w:i w:val="0"/>
          <w:caps w:val="0"/>
          <w:color w:val="auto"/>
          <w:spacing w:val="0"/>
          <w:w w:val="100"/>
          <w:sz w:val="24"/>
          <w:szCs w:val="24"/>
        </w:rPr>
        <w:t>运行情况，发现情况及时通报、处理。每次巡检或维护必须有书面记录。</w:t>
      </w:r>
    </w:p>
    <w:p w14:paraId="2B7EC000">
      <w:pPr>
        <w:keepNext w:val="0"/>
        <w:keepLines w:val="0"/>
        <w:pageBreakBefore w:val="0"/>
        <w:widowControl/>
        <w:kinsoku/>
        <w:wordWrap/>
        <w:overflowPunct/>
        <w:topLinePunct w:val="0"/>
        <w:bidi w:val="0"/>
        <w:spacing w:line="350" w:lineRule="exact"/>
        <w:ind w:firstLine="480" w:firstLineChars="200"/>
        <w:jc w:val="left"/>
        <w:outlineLvl w:val="9"/>
        <w:rPr>
          <w:rFonts w:hint="eastAsia" w:ascii="宋体" w:hAnsi="宋体" w:eastAsia="宋体" w:cs="宋体"/>
          <w:bCs/>
          <w:color w:val="auto"/>
          <w:sz w:val="24"/>
          <w:szCs w:val="24"/>
        </w:rPr>
      </w:pPr>
    </w:p>
    <w:p w14:paraId="6F162636">
      <w:pPr>
        <w:keepNext w:val="0"/>
        <w:keepLines w:val="0"/>
        <w:pageBreakBefore w:val="0"/>
        <w:widowControl/>
        <w:kinsoku/>
        <w:wordWrap/>
        <w:overflowPunct/>
        <w:topLinePunct w:val="0"/>
        <w:bidi w:val="0"/>
        <w:spacing w:line="350" w:lineRule="exact"/>
        <w:ind w:firstLine="480" w:firstLineChars="200"/>
        <w:jc w:val="left"/>
        <w:outlineLvl w:val="9"/>
        <w:rPr>
          <w:rFonts w:hint="eastAsia" w:ascii="宋体" w:hAnsi="宋体" w:eastAsia="宋体" w:cs="宋体"/>
          <w:bCs/>
          <w:color w:val="auto"/>
          <w:sz w:val="24"/>
          <w:szCs w:val="24"/>
        </w:rPr>
      </w:pPr>
    </w:p>
    <w:tbl>
      <w:tblPr>
        <w:tblStyle w:val="16"/>
        <w:tblpPr w:leftFromText="180" w:rightFromText="180" w:vertAnchor="text" w:tblpX="10082" w:tblpY="22477"/>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14:paraId="412A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4" w:type="dxa"/>
          </w:tcPr>
          <w:p w14:paraId="5ADA31D1">
            <w:pPr>
              <w:rPr>
                <w:color w:val="auto"/>
              </w:rPr>
            </w:pPr>
          </w:p>
        </w:tc>
      </w:tr>
    </w:tbl>
    <w:p w14:paraId="28CC3955">
      <w:pPr>
        <w:pStyle w:val="8"/>
        <w:jc w:val="center"/>
        <w:rPr>
          <w:rFonts w:hint="default" w:asciiTheme="majorEastAsia" w:hAnsiTheme="majorEastAsia" w:eastAsiaTheme="majorEastAsia" w:cstheme="majorEastAsia"/>
          <w:color w:val="auto"/>
          <w:sz w:val="28"/>
          <w:szCs w:val="28"/>
        </w:rPr>
      </w:pPr>
      <w:bookmarkStart w:id="223" w:name="_Toc5196"/>
      <w:r>
        <w:rPr>
          <w:rFonts w:asciiTheme="majorEastAsia" w:hAnsiTheme="majorEastAsia" w:eastAsiaTheme="majorEastAsia" w:cstheme="majorEastAsia"/>
          <w:color w:val="auto"/>
          <w:sz w:val="28"/>
          <w:szCs w:val="28"/>
        </w:rPr>
        <w:t>第四章 评标办法</w:t>
      </w:r>
      <w:bookmarkEnd w:id="222"/>
      <w:bookmarkEnd w:id="223"/>
    </w:p>
    <w:p w14:paraId="550F91B9">
      <w:pPr>
        <w:pStyle w:val="8"/>
        <w:widowControl/>
        <w:spacing w:line="420" w:lineRule="exact"/>
        <w:jc w:val="center"/>
        <w:rPr>
          <w:rFonts w:hint="default" w:ascii="宋体" w:eastAsia="宋体" w:cs="宋体"/>
          <w:b w:val="0"/>
          <w:color w:val="auto"/>
          <w:sz w:val="24"/>
          <w:szCs w:val="24"/>
        </w:rPr>
      </w:pPr>
      <w:bookmarkStart w:id="224" w:name="一、综合评分法"/>
      <w:bookmarkEnd w:id="224"/>
      <w:bookmarkStart w:id="225" w:name="_Toc20047"/>
      <w:bookmarkStart w:id="226" w:name="_Toc12747"/>
      <w:bookmarkStart w:id="227" w:name="_Toc24785"/>
      <w:bookmarkStart w:id="228" w:name="_Toc7795"/>
      <w:r>
        <w:rPr>
          <w:rFonts w:ascii="宋体" w:eastAsia="宋体" w:cs="宋体"/>
          <w:b w:val="0"/>
          <w:color w:val="auto"/>
          <w:sz w:val="24"/>
          <w:szCs w:val="24"/>
        </w:rPr>
        <w:t>一、综合评分法</w:t>
      </w:r>
      <w:bookmarkEnd w:id="225"/>
      <w:bookmarkEnd w:id="226"/>
      <w:bookmarkEnd w:id="227"/>
      <w:bookmarkEnd w:id="228"/>
    </w:p>
    <w:p w14:paraId="7ECD3B10">
      <w:pPr>
        <w:pStyle w:val="8"/>
        <w:widowControl/>
        <w:spacing w:line="420" w:lineRule="exact"/>
        <w:jc w:val="center"/>
        <w:rPr>
          <w:rFonts w:hint="default" w:ascii="宋体" w:eastAsia="宋体" w:cs="宋体"/>
          <w:b w:val="0"/>
          <w:color w:val="auto"/>
          <w:sz w:val="24"/>
          <w:szCs w:val="24"/>
        </w:rPr>
      </w:pPr>
      <w:bookmarkStart w:id="229" w:name="_Toc18470"/>
      <w:bookmarkStart w:id="230" w:name="_Toc17635"/>
      <w:bookmarkStart w:id="231" w:name="_Toc1125"/>
      <w:bookmarkStart w:id="232" w:name="_Toc1450"/>
      <w:r>
        <w:rPr>
          <w:rFonts w:ascii="宋体" w:eastAsia="宋体" w:cs="宋体"/>
          <w:b w:val="0"/>
          <w:color w:val="auto"/>
          <w:sz w:val="24"/>
          <w:szCs w:val="24"/>
        </w:rPr>
        <w:t>（一）</w:t>
      </w:r>
      <w:r>
        <w:rPr>
          <w:rFonts w:ascii="宋体" w:eastAsia="宋体" w:cs="宋体"/>
          <w:b w:val="0"/>
          <w:color w:val="auto"/>
          <w:sz w:val="24"/>
          <w:szCs w:val="24"/>
        </w:rPr>
        <w:tab/>
      </w:r>
      <w:r>
        <w:rPr>
          <w:rFonts w:ascii="宋体" w:eastAsia="宋体" w:cs="宋体"/>
          <w:b w:val="0"/>
          <w:color w:val="auto"/>
          <w:sz w:val="24"/>
          <w:szCs w:val="24"/>
        </w:rPr>
        <w:t>总</w:t>
      </w:r>
      <w:r>
        <w:rPr>
          <w:rFonts w:ascii="宋体" w:eastAsia="宋体" w:cs="宋体"/>
          <w:b w:val="0"/>
          <w:color w:val="auto"/>
          <w:sz w:val="24"/>
          <w:szCs w:val="24"/>
        </w:rPr>
        <w:tab/>
      </w:r>
      <w:r>
        <w:rPr>
          <w:rFonts w:ascii="宋体" w:eastAsia="宋体" w:cs="宋体"/>
          <w:b w:val="0"/>
          <w:color w:val="auto"/>
          <w:sz w:val="24"/>
          <w:szCs w:val="24"/>
        </w:rPr>
        <w:t>则</w:t>
      </w:r>
      <w:bookmarkEnd w:id="229"/>
      <w:bookmarkEnd w:id="230"/>
      <w:bookmarkEnd w:id="231"/>
      <w:bookmarkEnd w:id="232"/>
    </w:p>
    <w:p w14:paraId="1F166203">
      <w:pPr>
        <w:pStyle w:val="8"/>
        <w:widowControl/>
        <w:spacing w:line="420" w:lineRule="exact"/>
        <w:ind w:firstLine="482" w:firstLineChars="200"/>
        <w:rPr>
          <w:rFonts w:hint="default" w:ascii="宋体" w:eastAsia="宋体" w:cs="宋体"/>
          <w:b w:val="0"/>
          <w:color w:val="auto"/>
          <w:sz w:val="24"/>
          <w:szCs w:val="24"/>
        </w:rPr>
      </w:pPr>
      <w:bookmarkStart w:id="233" w:name="_Toc9919"/>
      <w:bookmarkStart w:id="234" w:name="_Toc18889"/>
      <w:bookmarkStart w:id="235" w:name="_Toc13048"/>
      <w:bookmarkStart w:id="236" w:name="_Toc714"/>
      <w:r>
        <w:rPr>
          <w:rFonts w:ascii="宋体" w:eastAsia="宋体" w:cs="宋体"/>
          <w:b/>
          <w:bCs/>
          <w:color w:val="auto"/>
          <w:sz w:val="24"/>
          <w:szCs w:val="24"/>
        </w:rPr>
        <w:t>第一条</w:t>
      </w:r>
      <w:r>
        <w:rPr>
          <w:rFonts w:ascii="宋体" w:eastAsia="宋体" w:cs="宋体"/>
          <w:b w:val="0"/>
          <w:color w:val="auto"/>
          <w:sz w:val="24"/>
          <w:szCs w:val="24"/>
        </w:rPr>
        <w:t xml:space="preserve"> 为了做好本项目招标评标工作，保证项目评审工作的正常有序进行，维护采购人、供应商的合法权益，依据《中华人民共和国政府采购法》等相关法律法规，本着公开、公平、公正的原则，制定评标办法。</w:t>
      </w:r>
      <w:bookmarkEnd w:id="233"/>
      <w:bookmarkEnd w:id="234"/>
      <w:bookmarkEnd w:id="235"/>
      <w:bookmarkEnd w:id="236"/>
    </w:p>
    <w:p w14:paraId="1CAE491D">
      <w:pPr>
        <w:pStyle w:val="8"/>
        <w:widowControl/>
        <w:spacing w:line="420" w:lineRule="exact"/>
        <w:ind w:firstLine="482" w:firstLineChars="200"/>
        <w:rPr>
          <w:rFonts w:hint="default" w:ascii="宋体" w:eastAsia="宋体" w:cs="宋体"/>
          <w:b w:val="0"/>
          <w:color w:val="auto"/>
          <w:sz w:val="24"/>
          <w:szCs w:val="24"/>
        </w:rPr>
      </w:pPr>
      <w:bookmarkStart w:id="237" w:name="_Toc18402"/>
      <w:bookmarkStart w:id="238" w:name="_Toc7391"/>
      <w:bookmarkStart w:id="239" w:name="_Toc15128"/>
      <w:bookmarkStart w:id="240" w:name="_Toc572"/>
      <w:r>
        <w:rPr>
          <w:rFonts w:ascii="宋体" w:eastAsia="宋体" w:cs="宋体"/>
          <w:b/>
          <w:bCs/>
          <w:color w:val="auto"/>
          <w:sz w:val="24"/>
          <w:szCs w:val="24"/>
        </w:rPr>
        <w:t>第二条</w:t>
      </w:r>
      <w:r>
        <w:rPr>
          <w:rFonts w:ascii="宋体" w:eastAsia="宋体" w:cs="宋体"/>
          <w:b w:val="0"/>
          <w:color w:val="auto"/>
          <w:sz w:val="24"/>
          <w:szCs w:val="24"/>
        </w:rPr>
        <w:t xml:space="preserve"> 本项目采用综合评分对供应商标书的比较方法。</w:t>
      </w:r>
      <w:bookmarkEnd w:id="237"/>
      <w:bookmarkEnd w:id="238"/>
      <w:bookmarkEnd w:id="239"/>
      <w:bookmarkEnd w:id="240"/>
    </w:p>
    <w:p w14:paraId="72A0935A">
      <w:pPr>
        <w:pStyle w:val="8"/>
        <w:widowControl/>
        <w:spacing w:line="420" w:lineRule="exact"/>
        <w:ind w:firstLine="482" w:firstLineChars="200"/>
        <w:rPr>
          <w:rFonts w:hint="default" w:ascii="宋体" w:eastAsia="宋体" w:cs="宋体"/>
          <w:b w:val="0"/>
          <w:color w:val="auto"/>
          <w:sz w:val="24"/>
          <w:szCs w:val="24"/>
        </w:rPr>
      </w:pPr>
      <w:bookmarkStart w:id="241" w:name="_Toc22808"/>
      <w:bookmarkStart w:id="242" w:name="_Toc27443"/>
      <w:bookmarkStart w:id="243" w:name="_Toc4905"/>
      <w:bookmarkStart w:id="244" w:name="_Toc21928"/>
      <w:r>
        <w:rPr>
          <w:rFonts w:ascii="宋体" w:eastAsia="宋体" w:cs="宋体"/>
          <w:b/>
          <w:bCs/>
          <w:color w:val="auto"/>
          <w:sz w:val="24"/>
          <w:szCs w:val="24"/>
        </w:rPr>
        <w:t>第三条</w:t>
      </w:r>
      <w:r>
        <w:rPr>
          <w:rFonts w:ascii="宋体" w:eastAsia="宋体" w:cs="宋体"/>
          <w:b w:val="0"/>
          <w:color w:val="auto"/>
          <w:sz w:val="24"/>
          <w:szCs w:val="24"/>
        </w:rPr>
        <w:t xml:space="preserve"> 采购人负责组织不少于3人组成的评标委员会（以下简称评委会），负责本项目的评标工作。</w:t>
      </w:r>
      <w:bookmarkEnd w:id="241"/>
      <w:bookmarkEnd w:id="242"/>
      <w:bookmarkEnd w:id="243"/>
      <w:bookmarkEnd w:id="244"/>
    </w:p>
    <w:p w14:paraId="1249AB3B">
      <w:pPr>
        <w:pStyle w:val="8"/>
        <w:widowControl/>
        <w:spacing w:line="420" w:lineRule="exact"/>
        <w:ind w:firstLine="482" w:firstLineChars="200"/>
        <w:rPr>
          <w:rFonts w:hint="default" w:ascii="宋体" w:eastAsia="宋体" w:cs="宋体"/>
          <w:b w:val="0"/>
          <w:color w:val="auto"/>
          <w:sz w:val="24"/>
          <w:szCs w:val="24"/>
        </w:rPr>
      </w:pPr>
      <w:bookmarkStart w:id="245" w:name="_Toc448"/>
      <w:bookmarkStart w:id="246" w:name="_Toc23760"/>
      <w:bookmarkStart w:id="247" w:name="_Toc26615"/>
      <w:bookmarkStart w:id="248" w:name="_Toc23231"/>
      <w:r>
        <w:rPr>
          <w:rFonts w:ascii="宋体" w:eastAsia="宋体" w:cs="宋体"/>
          <w:b/>
          <w:bCs/>
          <w:color w:val="auto"/>
          <w:sz w:val="24"/>
          <w:szCs w:val="24"/>
        </w:rPr>
        <w:t>第四条</w:t>
      </w:r>
      <w:r>
        <w:rPr>
          <w:rFonts w:ascii="宋体" w:eastAsia="宋体" w:cs="宋体"/>
          <w:b w:val="0"/>
          <w:color w:val="auto"/>
          <w:sz w:val="24"/>
          <w:szCs w:val="24"/>
        </w:rPr>
        <w:t xml:space="preserve"> 评委会按照“客观公正，实事求是”的原则，评价参加本次招标的供应商所提供的产品价格、性能、质量、服务及对磋商文件的符合性及响应性。</w:t>
      </w:r>
      <w:bookmarkEnd w:id="245"/>
      <w:bookmarkEnd w:id="246"/>
      <w:bookmarkEnd w:id="247"/>
      <w:bookmarkEnd w:id="248"/>
    </w:p>
    <w:p w14:paraId="12FEF4A2">
      <w:pPr>
        <w:pStyle w:val="8"/>
        <w:widowControl/>
        <w:spacing w:line="420" w:lineRule="exact"/>
        <w:jc w:val="center"/>
        <w:rPr>
          <w:rFonts w:hint="default" w:ascii="宋体" w:eastAsia="宋体" w:cs="宋体"/>
          <w:b w:val="0"/>
          <w:color w:val="auto"/>
          <w:sz w:val="24"/>
          <w:szCs w:val="24"/>
        </w:rPr>
      </w:pPr>
      <w:bookmarkStart w:id="249" w:name="_Toc11185"/>
      <w:bookmarkStart w:id="250" w:name="_Toc16972"/>
      <w:bookmarkStart w:id="251" w:name="_Toc7345"/>
      <w:bookmarkStart w:id="252" w:name="_Toc18647"/>
      <w:r>
        <w:rPr>
          <w:rFonts w:ascii="宋体" w:eastAsia="宋体" w:cs="宋体"/>
          <w:b w:val="0"/>
          <w:color w:val="auto"/>
          <w:sz w:val="24"/>
          <w:szCs w:val="24"/>
        </w:rPr>
        <w:t>（二）评标程序及评审细则</w:t>
      </w:r>
      <w:bookmarkEnd w:id="249"/>
      <w:bookmarkEnd w:id="250"/>
      <w:bookmarkEnd w:id="251"/>
      <w:bookmarkEnd w:id="252"/>
    </w:p>
    <w:p w14:paraId="4DE8B5D3">
      <w:pPr>
        <w:pStyle w:val="8"/>
        <w:widowControl/>
        <w:spacing w:line="420" w:lineRule="exact"/>
        <w:ind w:firstLine="482" w:firstLineChars="200"/>
        <w:rPr>
          <w:rFonts w:hint="default" w:ascii="宋体" w:eastAsia="宋体" w:cs="宋体"/>
          <w:b w:val="0"/>
          <w:color w:val="auto"/>
          <w:sz w:val="24"/>
          <w:szCs w:val="24"/>
        </w:rPr>
      </w:pPr>
      <w:bookmarkStart w:id="253" w:name="_Toc6557"/>
      <w:bookmarkStart w:id="254" w:name="_Toc18289"/>
      <w:bookmarkStart w:id="255" w:name="_Toc1918"/>
      <w:bookmarkStart w:id="256" w:name="_Toc15497"/>
      <w:r>
        <w:rPr>
          <w:rFonts w:ascii="宋体" w:eastAsia="宋体" w:cs="宋体"/>
          <w:b/>
          <w:bCs/>
          <w:color w:val="auto"/>
          <w:sz w:val="24"/>
          <w:szCs w:val="24"/>
        </w:rPr>
        <w:t>第五条</w:t>
      </w:r>
      <w:r>
        <w:rPr>
          <w:rFonts w:ascii="宋体" w:eastAsia="宋体" w:cs="宋体"/>
          <w:b w:val="0"/>
          <w:color w:val="auto"/>
          <w:sz w:val="24"/>
          <w:szCs w:val="24"/>
        </w:rPr>
        <w:t xml:space="preserve"> 评标工作于开标后进行。评委会应认真研究磋商文件，至少应了解和熟悉以下内容：</w:t>
      </w:r>
      <w:bookmarkEnd w:id="253"/>
      <w:bookmarkEnd w:id="254"/>
      <w:bookmarkEnd w:id="255"/>
      <w:bookmarkEnd w:id="256"/>
    </w:p>
    <w:p w14:paraId="28EF5000">
      <w:pPr>
        <w:pStyle w:val="8"/>
        <w:widowControl/>
        <w:spacing w:line="420" w:lineRule="exact"/>
        <w:ind w:firstLine="480" w:firstLineChars="200"/>
        <w:rPr>
          <w:rFonts w:hint="default" w:ascii="宋体" w:eastAsia="宋体" w:cs="宋体"/>
          <w:b w:val="0"/>
          <w:color w:val="auto"/>
          <w:sz w:val="24"/>
          <w:szCs w:val="24"/>
        </w:rPr>
      </w:pPr>
      <w:bookmarkStart w:id="257" w:name="_Toc26010"/>
      <w:bookmarkStart w:id="258" w:name="_Toc6055"/>
      <w:bookmarkStart w:id="259" w:name="_Toc27201"/>
      <w:bookmarkStart w:id="260" w:name="_Toc21111"/>
      <w:r>
        <w:rPr>
          <w:rFonts w:ascii="宋体" w:eastAsia="宋体" w:cs="宋体"/>
          <w:b w:val="0"/>
          <w:color w:val="auto"/>
          <w:sz w:val="24"/>
          <w:szCs w:val="24"/>
        </w:rPr>
        <w:t>（一）采购的目标；</w:t>
      </w:r>
      <w:bookmarkEnd w:id="257"/>
      <w:bookmarkEnd w:id="258"/>
      <w:bookmarkEnd w:id="259"/>
      <w:bookmarkEnd w:id="260"/>
    </w:p>
    <w:p w14:paraId="63840060">
      <w:pPr>
        <w:pStyle w:val="8"/>
        <w:widowControl/>
        <w:spacing w:line="420" w:lineRule="exact"/>
        <w:ind w:firstLine="480" w:firstLineChars="200"/>
        <w:rPr>
          <w:rFonts w:hint="default" w:ascii="宋体" w:eastAsia="宋体" w:cs="宋体"/>
          <w:b w:val="0"/>
          <w:color w:val="auto"/>
          <w:sz w:val="24"/>
          <w:szCs w:val="24"/>
        </w:rPr>
      </w:pPr>
      <w:bookmarkStart w:id="261" w:name="_Toc12542"/>
      <w:bookmarkStart w:id="262" w:name="_Toc3703"/>
      <w:bookmarkStart w:id="263" w:name="_Toc21325"/>
      <w:bookmarkStart w:id="264" w:name="_Toc1104"/>
      <w:r>
        <w:rPr>
          <w:rFonts w:ascii="宋体" w:eastAsia="宋体" w:cs="宋体"/>
          <w:b w:val="0"/>
          <w:color w:val="auto"/>
          <w:sz w:val="24"/>
          <w:szCs w:val="24"/>
        </w:rPr>
        <w:t>（二）采购项目的范围和性质；</w:t>
      </w:r>
      <w:bookmarkEnd w:id="261"/>
      <w:bookmarkEnd w:id="262"/>
      <w:bookmarkEnd w:id="263"/>
      <w:bookmarkEnd w:id="264"/>
    </w:p>
    <w:p w14:paraId="33D2B83B">
      <w:pPr>
        <w:pStyle w:val="8"/>
        <w:widowControl/>
        <w:spacing w:line="420" w:lineRule="exact"/>
        <w:ind w:firstLine="480" w:firstLineChars="200"/>
        <w:rPr>
          <w:rFonts w:hint="default" w:ascii="宋体" w:eastAsia="宋体" w:cs="宋体"/>
          <w:b w:val="0"/>
          <w:color w:val="auto"/>
          <w:sz w:val="24"/>
          <w:szCs w:val="24"/>
        </w:rPr>
      </w:pPr>
      <w:bookmarkStart w:id="265" w:name="_Toc6024"/>
      <w:bookmarkStart w:id="266" w:name="_Toc10032"/>
      <w:bookmarkStart w:id="267" w:name="_Toc32258"/>
      <w:bookmarkStart w:id="268" w:name="_Toc32587"/>
      <w:r>
        <w:rPr>
          <w:rFonts w:ascii="宋体" w:eastAsia="宋体" w:cs="宋体"/>
          <w:b w:val="0"/>
          <w:color w:val="auto"/>
          <w:sz w:val="24"/>
          <w:szCs w:val="24"/>
        </w:rPr>
        <w:t>（三）磋商文件中规定的主要技术要求、标准和商务条款；</w:t>
      </w:r>
      <w:bookmarkEnd w:id="265"/>
      <w:bookmarkEnd w:id="266"/>
      <w:bookmarkEnd w:id="267"/>
      <w:bookmarkEnd w:id="268"/>
    </w:p>
    <w:p w14:paraId="5B24A089">
      <w:pPr>
        <w:pStyle w:val="8"/>
        <w:widowControl/>
        <w:spacing w:line="420" w:lineRule="exact"/>
        <w:ind w:firstLine="480" w:firstLineChars="200"/>
        <w:rPr>
          <w:rFonts w:hint="default" w:ascii="宋体" w:eastAsia="宋体" w:cs="宋体"/>
          <w:b w:val="0"/>
          <w:color w:val="auto"/>
          <w:sz w:val="24"/>
          <w:szCs w:val="24"/>
        </w:rPr>
      </w:pPr>
      <w:bookmarkStart w:id="269" w:name="_Toc244"/>
      <w:bookmarkStart w:id="270" w:name="_Toc31853"/>
      <w:bookmarkStart w:id="271" w:name="_Toc2759"/>
      <w:bookmarkStart w:id="272" w:name="_Toc32558"/>
      <w:r>
        <w:rPr>
          <w:rFonts w:ascii="宋体" w:eastAsia="宋体" w:cs="宋体"/>
          <w:b w:val="0"/>
          <w:color w:val="auto"/>
          <w:sz w:val="24"/>
          <w:szCs w:val="24"/>
        </w:rPr>
        <w:t>（四）磋商文件规定的评标标准、评标方法和在评标过程中考虑的相关因素。</w:t>
      </w:r>
      <w:bookmarkEnd w:id="269"/>
      <w:bookmarkEnd w:id="270"/>
      <w:bookmarkEnd w:id="271"/>
      <w:bookmarkEnd w:id="272"/>
      <w:r>
        <w:rPr>
          <w:rFonts w:ascii="宋体" w:eastAsia="宋体" w:cs="宋体"/>
          <w:b w:val="0"/>
          <w:color w:val="auto"/>
          <w:sz w:val="24"/>
          <w:szCs w:val="24"/>
        </w:rPr>
        <w:t xml:space="preserve"> </w:t>
      </w:r>
    </w:p>
    <w:p w14:paraId="5DE68FF8">
      <w:pPr>
        <w:pStyle w:val="8"/>
        <w:widowControl/>
        <w:spacing w:line="420" w:lineRule="exact"/>
        <w:ind w:firstLine="482" w:firstLineChars="200"/>
        <w:rPr>
          <w:rFonts w:hint="default" w:ascii="宋体" w:eastAsia="宋体" w:cs="宋体"/>
          <w:b w:val="0"/>
          <w:color w:val="auto"/>
          <w:sz w:val="24"/>
          <w:szCs w:val="24"/>
        </w:rPr>
      </w:pPr>
      <w:bookmarkStart w:id="273" w:name="_Toc7413"/>
      <w:bookmarkStart w:id="274" w:name="_Toc16617"/>
      <w:bookmarkStart w:id="275" w:name="_Toc31839"/>
      <w:bookmarkStart w:id="276" w:name="_Toc17919"/>
      <w:r>
        <w:rPr>
          <w:rFonts w:ascii="宋体" w:eastAsia="宋体" w:cs="宋体"/>
          <w:b/>
          <w:bCs/>
          <w:color w:val="auto"/>
          <w:sz w:val="24"/>
          <w:szCs w:val="24"/>
        </w:rPr>
        <w:t>第六条</w:t>
      </w:r>
      <w:r>
        <w:rPr>
          <w:rFonts w:ascii="宋体" w:eastAsia="宋体" w:cs="宋体"/>
          <w:b w:val="0"/>
          <w:color w:val="auto"/>
          <w:sz w:val="24"/>
          <w:szCs w:val="24"/>
        </w:rPr>
        <w:t xml:space="preserve"> 有效投标应符合以下原则：</w:t>
      </w:r>
      <w:bookmarkEnd w:id="273"/>
      <w:bookmarkEnd w:id="274"/>
      <w:bookmarkEnd w:id="275"/>
      <w:bookmarkEnd w:id="276"/>
    </w:p>
    <w:p w14:paraId="24AA5781">
      <w:pPr>
        <w:pStyle w:val="8"/>
        <w:widowControl/>
        <w:spacing w:line="420" w:lineRule="exact"/>
        <w:ind w:firstLine="480" w:firstLineChars="200"/>
        <w:rPr>
          <w:rFonts w:hint="default" w:ascii="宋体" w:eastAsia="宋体" w:cs="宋体"/>
          <w:b w:val="0"/>
          <w:color w:val="auto"/>
          <w:sz w:val="24"/>
          <w:szCs w:val="24"/>
        </w:rPr>
      </w:pPr>
      <w:bookmarkStart w:id="277" w:name="_Toc16340"/>
      <w:bookmarkStart w:id="278" w:name="_Toc16473"/>
      <w:bookmarkStart w:id="279" w:name="_Toc28380"/>
      <w:bookmarkStart w:id="280" w:name="_Toc4990"/>
      <w:r>
        <w:rPr>
          <w:rFonts w:ascii="宋体" w:eastAsia="宋体" w:cs="宋体"/>
          <w:b w:val="0"/>
          <w:color w:val="auto"/>
          <w:sz w:val="24"/>
          <w:szCs w:val="24"/>
        </w:rPr>
        <w:t>（一）满足磋商文件的实质性要求；</w:t>
      </w:r>
      <w:bookmarkEnd w:id="277"/>
      <w:bookmarkEnd w:id="278"/>
      <w:bookmarkEnd w:id="279"/>
      <w:bookmarkEnd w:id="280"/>
    </w:p>
    <w:p w14:paraId="13B060A6">
      <w:pPr>
        <w:pStyle w:val="8"/>
        <w:widowControl/>
        <w:spacing w:line="420" w:lineRule="exact"/>
        <w:ind w:firstLine="480" w:firstLineChars="200"/>
        <w:rPr>
          <w:rFonts w:hint="default" w:ascii="宋体" w:eastAsia="宋体" w:cs="宋体"/>
          <w:b w:val="0"/>
          <w:color w:val="auto"/>
          <w:sz w:val="24"/>
          <w:szCs w:val="24"/>
        </w:rPr>
      </w:pPr>
      <w:bookmarkStart w:id="281" w:name="_Toc32571"/>
      <w:bookmarkStart w:id="282" w:name="_Toc22402"/>
      <w:bookmarkStart w:id="283" w:name="_Toc11342"/>
      <w:bookmarkStart w:id="284" w:name="_Toc27500"/>
      <w:r>
        <w:rPr>
          <w:rFonts w:ascii="宋体" w:eastAsia="宋体" w:cs="宋体"/>
          <w:b w:val="0"/>
          <w:color w:val="auto"/>
          <w:sz w:val="24"/>
          <w:szCs w:val="24"/>
        </w:rPr>
        <w:t>（二）无重大偏离、保留或采购人不能接受的附加条件；</w:t>
      </w:r>
      <w:bookmarkEnd w:id="281"/>
      <w:bookmarkEnd w:id="282"/>
      <w:bookmarkEnd w:id="283"/>
      <w:bookmarkEnd w:id="284"/>
    </w:p>
    <w:p w14:paraId="3452B00B">
      <w:pPr>
        <w:pStyle w:val="8"/>
        <w:widowControl/>
        <w:spacing w:line="420" w:lineRule="exact"/>
        <w:ind w:firstLine="480" w:firstLineChars="200"/>
        <w:rPr>
          <w:rFonts w:hint="default" w:ascii="宋体" w:eastAsia="宋体" w:cs="宋体"/>
          <w:b w:val="0"/>
          <w:color w:val="auto"/>
          <w:sz w:val="24"/>
          <w:szCs w:val="24"/>
        </w:rPr>
      </w:pPr>
      <w:bookmarkStart w:id="285" w:name="_Toc13021"/>
      <w:bookmarkStart w:id="286" w:name="_Toc6697"/>
      <w:bookmarkStart w:id="287" w:name="_Toc925"/>
      <w:bookmarkStart w:id="288" w:name="_Toc30753"/>
      <w:r>
        <w:rPr>
          <w:rFonts w:ascii="宋体" w:eastAsia="宋体" w:cs="宋体"/>
          <w:b w:val="0"/>
          <w:color w:val="auto"/>
          <w:sz w:val="24"/>
          <w:szCs w:val="24"/>
        </w:rPr>
        <w:t>（三）通过投标有效性评审；</w:t>
      </w:r>
      <w:bookmarkEnd w:id="285"/>
      <w:bookmarkEnd w:id="286"/>
      <w:bookmarkEnd w:id="287"/>
      <w:bookmarkEnd w:id="288"/>
      <w:r>
        <w:rPr>
          <w:rFonts w:ascii="宋体" w:eastAsia="宋体" w:cs="宋体"/>
          <w:b w:val="0"/>
          <w:color w:val="auto"/>
          <w:sz w:val="24"/>
          <w:szCs w:val="24"/>
        </w:rPr>
        <w:t xml:space="preserve"> </w:t>
      </w:r>
    </w:p>
    <w:p w14:paraId="7D79E049">
      <w:pPr>
        <w:pStyle w:val="8"/>
        <w:widowControl/>
        <w:spacing w:line="420" w:lineRule="exact"/>
        <w:ind w:firstLine="480" w:firstLineChars="200"/>
        <w:rPr>
          <w:rFonts w:hint="default" w:ascii="宋体" w:eastAsia="宋体" w:cs="宋体"/>
          <w:b w:val="0"/>
          <w:color w:val="auto"/>
          <w:sz w:val="24"/>
          <w:szCs w:val="24"/>
        </w:rPr>
      </w:pPr>
      <w:bookmarkStart w:id="289" w:name="_Toc5002"/>
      <w:bookmarkStart w:id="290" w:name="_Toc24103"/>
      <w:bookmarkStart w:id="291" w:name="_Toc24170"/>
      <w:bookmarkStart w:id="292" w:name="_Toc3939"/>
      <w:r>
        <w:rPr>
          <w:rFonts w:ascii="宋体" w:eastAsia="宋体" w:cs="宋体"/>
          <w:b w:val="0"/>
          <w:color w:val="auto"/>
          <w:sz w:val="24"/>
          <w:szCs w:val="24"/>
        </w:rPr>
        <w:t>（四）评委会依据磋商文件认定的其他原则。</w:t>
      </w:r>
      <w:bookmarkEnd w:id="289"/>
      <w:bookmarkEnd w:id="290"/>
      <w:bookmarkEnd w:id="291"/>
      <w:bookmarkEnd w:id="292"/>
    </w:p>
    <w:p w14:paraId="48216246">
      <w:pPr>
        <w:pStyle w:val="8"/>
        <w:widowControl/>
        <w:spacing w:line="420" w:lineRule="exact"/>
        <w:ind w:firstLine="482" w:firstLineChars="200"/>
        <w:rPr>
          <w:rFonts w:hint="default" w:ascii="宋体" w:eastAsia="宋体" w:cs="宋体"/>
          <w:b w:val="0"/>
          <w:color w:val="auto"/>
          <w:sz w:val="24"/>
          <w:szCs w:val="24"/>
        </w:rPr>
      </w:pPr>
      <w:bookmarkStart w:id="293" w:name="_Toc7798"/>
      <w:bookmarkStart w:id="294" w:name="_Toc18711"/>
      <w:bookmarkStart w:id="295" w:name="_Toc9975"/>
      <w:bookmarkStart w:id="296" w:name="_Toc7150"/>
      <w:r>
        <w:rPr>
          <w:rFonts w:ascii="宋体" w:eastAsia="宋体" w:cs="宋体"/>
          <w:b/>
          <w:bCs/>
          <w:color w:val="auto"/>
          <w:sz w:val="24"/>
          <w:szCs w:val="24"/>
        </w:rPr>
        <w:t>第七条</w:t>
      </w:r>
      <w:r>
        <w:rPr>
          <w:rFonts w:ascii="宋体" w:eastAsia="宋体" w:cs="宋体"/>
          <w:b w:val="0"/>
          <w:color w:val="auto"/>
          <w:sz w:val="24"/>
          <w:szCs w:val="24"/>
        </w:rPr>
        <w:t xml:space="preserve"> 评委会对投标文件独立评审，按照综合评分最终得分由高到低的原则确定1名中标候选人。</w:t>
      </w:r>
      <w:bookmarkEnd w:id="293"/>
      <w:bookmarkEnd w:id="294"/>
      <w:bookmarkEnd w:id="295"/>
      <w:bookmarkEnd w:id="296"/>
    </w:p>
    <w:p w14:paraId="025445A5">
      <w:pPr>
        <w:pStyle w:val="8"/>
        <w:widowControl/>
        <w:spacing w:line="420" w:lineRule="exact"/>
        <w:ind w:firstLine="482" w:firstLineChars="200"/>
        <w:rPr>
          <w:rFonts w:hint="default" w:ascii="宋体" w:eastAsia="宋体" w:cs="宋体"/>
          <w:b w:val="0"/>
          <w:color w:val="auto"/>
          <w:sz w:val="24"/>
          <w:szCs w:val="24"/>
        </w:rPr>
      </w:pPr>
      <w:bookmarkStart w:id="297" w:name="_Toc1231"/>
      <w:bookmarkStart w:id="298" w:name="_Toc30414"/>
      <w:bookmarkStart w:id="299" w:name="_Toc4152"/>
      <w:bookmarkStart w:id="300" w:name="_Toc7529"/>
      <w:bookmarkStart w:id="301" w:name="_Toc31584"/>
      <w:bookmarkStart w:id="302" w:name="_Toc5888"/>
      <w:bookmarkStart w:id="303" w:name="_Toc28719"/>
      <w:r>
        <w:rPr>
          <w:rFonts w:ascii="宋体" w:eastAsia="宋体" w:cs="宋体"/>
          <w:b/>
          <w:bCs/>
          <w:color w:val="auto"/>
          <w:sz w:val="24"/>
          <w:szCs w:val="24"/>
        </w:rPr>
        <w:t>第八条</w:t>
      </w:r>
      <w:r>
        <w:rPr>
          <w:rFonts w:ascii="宋体" w:eastAsia="宋体" w:cs="宋体"/>
          <w:b w:val="0"/>
          <w:color w:val="auto"/>
          <w:sz w:val="24"/>
          <w:szCs w:val="24"/>
        </w:rPr>
        <w:t xml:space="preserve"> 评审中，评委会发现供应商的投标文件中对同类问题表述不一致、前后矛盾、有明显文字和计算错误的内容、有可能不符合磋商文件规定等情况需要澄清时，评委会将以询标的方式告知并要求供应商以书面方式进行必要的澄清、说明或补正。对于询标后判定为不符合磋商文件的投标文件，评委要提出充足的否定理由。最终对供应商的评审结论分为通过和未通过。</w:t>
      </w:r>
      <w:bookmarkEnd w:id="297"/>
      <w:bookmarkEnd w:id="298"/>
      <w:bookmarkEnd w:id="299"/>
      <w:bookmarkEnd w:id="300"/>
    </w:p>
    <w:p w14:paraId="233B05E0">
      <w:pPr>
        <w:snapToGrid w:val="0"/>
        <w:spacing w:line="420" w:lineRule="exact"/>
        <w:ind w:firstLine="482" w:firstLineChars="200"/>
        <w:jc w:val="left"/>
        <w:rPr>
          <w:rFonts w:ascii="宋体" w:hAnsi="宋体" w:eastAsia="宋体" w:cs="宋体"/>
          <w:color w:val="auto"/>
          <w:sz w:val="24"/>
        </w:rPr>
      </w:pPr>
      <w:bookmarkStart w:id="304" w:name="_Toc12298"/>
      <w:bookmarkStart w:id="305" w:name="_Toc5335"/>
      <w:r>
        <w:rPr>
          <w:rFonts w:hint="eastAsia" w:ascii="宋体" w:hAnsi="宋体" w:eastAsia="宋体" w:cs="宋体"/>
          <w:b/>
          <w:bCs/>
          <w:color w:val="auto"/>
          <w:sz w:val="24"/>
        </w:rPr>
        <w:t>第九条</w:t>
      </w:r>
      <w:r>
        <w:rPr>
          <w:rFonts w:hint="eastAsia" w:ascii="宋体" w:hAnsi="宋体" w:eastAsia="宋体" w:cs="宋体"/>
          <w:color w:val="auto"/>
          <w:sz w:val="24"/>
        </w:rPr>
        <w:t xml:space="preserve"> 本项目</w:t>
      </w:r>
      <w:r>
        <w:rPr>
          <w:rFonts w:hint="eastAsia" w:ascii="宋体" w:hAnsi="宋体" w:eastAsia="宋体" w:cs="宋体"/>
          <w:color w:val="auto"/>
          <w:sz w:val="24"/>
          <w:lang w:eastAsia="zh-CN"/>
        </w:rPr>
        <w:t>为竞争性磋商，需要二次报价</w:t>
      </w:r>
      <w:r>
        <w:rPr>
          <w:rFonts w:hint="eastAsia" w:ascii="宋体" w:hAnsi="宋体" w:eastAsia="宋体" w:cs="宋体"/>
          <w:color w:val="auto"/>
          <w:sz w:val="24"/>
        </w:rPr>
        <w:t>,二次报价不得高于预算价</w:t>
      </w:r>
      <w:r>
        <w:rPr>
          <w:rFonts w:hint="eastAsia" w:ascii="宋体" w:hAnsi="宋体" w:eastAsia="宋体" w:cs="宋体"/>
          <w:color w:val="auto"/>
          <w:sz w:val="24"/>
          <w:lang w:eastAsia="zh-CN"/>
        </w:rPr>
        <w:t>且</w:t>
      </w:r>
      <w:r>
        <w:rPr>
          <w:rFonts w:hint="eastAsia" w:ascii="宋体" w:hAnsi="宋体" w:eastAsia="宋体" w:cs="宋体"/>
          <w:color w:val="auto"/>
          <w:sz w:val="24"/>
        </w:rPr>
        <w:t>视为最终报价，</w:t>
      </w:r>
      <w:bookmarkEnd w:id="304"/>
      <w:bookmarkEnd w:id="305"/>
      <w:bookmarkStart w:id="306" w:name="_Toc2056"/>
      <w:bookmarkStart w:id="307" w:name="_Toc26318"/>
      <w:bookmarkStart w:id="308" w:name="_Toc28486"/>
      <w:bookmarkStart w:id="309" w:name="_Toc11483"/>
      <w:bookmarkStart w:id="310" w:name="_Toc31384"/>
      <w:bookmarkStart w:id="311" w:name="_Toc11558"/>
      <w:r>
        <w:rPr>
          <w:rFonts w:hint="eastAsia" w:ascii="宋体" w:hAnsi="宋体" w:eastAsia="宋体" w:cs="宋体"/>
          <w:b/>
          <w:bCs/>
          <w:color w:val="auto"/>
          <w:sz w:val="24"/>
        </w:rPr>
        <w:t>依据</w:t>
      </w:r>
      <w:r>
        <w:rPr>
          <w:rFonts w:hint="eastAsia" w:ascii="宋体" w:hAnsi="宋体" w:eastAsia="宋体" w:cs="宋体"/>
          <w:b/>
          <w:bCs/>
          <w:color w:val="auto"/>
          <w:kern w:val="0"/>
          <w:sz w:val="24"/>
          <w:lang w:val="en"/>
        </w:rPr>
        <w:t>中华人民共和国财政部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BCBA1C0">
      <w:pPr>
        <w:pStyle w:val="8"/>
        <w:widowControl/>
        <w:spacing w:line="420" w:lineRule="exact"/>
        <w:ind w:firstLine="482" w:firstLineChars="200"/>
        <w:rPr>
          <w:rFonts w:hint="default" w:ascii="宋体" w:eastAsia="宋体" w:cs="宋体"/>
          <w:b w:val="0"/>
          <w:color w:val="auto"/>
          <w:sz w:val="24"/>
          <w:szCs w:val="24"/>
        </w:rPr>
      </w:pPr>
      <w:bookmarkStart w:id="312" w:name="_Toc22398"/>
      <w:r>
        <w:rPr>
          <w:rFonts w:ascii="宋体" w:eastAsia="宋体" w:cs="宋体"/>
          <w:b/>
          <w:bCs/>
          <w:color w:val="auto"/>
          <w:sz w:val="24"/>
          <w:szCs w:val="24"/>
        </w:rPr>
        <w:t>第十条</w:t>
      </w:r>
      <w:r>
        <w:rPr>
          <w:rFonts w:ascii="宋体" w:eastAsia="宋体" w:cs="宋体"/>
          <w:b w:val="0"/>
          <w:color w:val="auto"/>
          <w:sz w:val="24"/>
          <w:szCs w:val="24"/>
        </w:rPr>
        <w:t xml:space="preserve">  评委会按下表内容进行投标有效性评审。</w:t>
      </w:r>
      <w:bookmarkEnd w:id="306"/>
      <w:bookmarkEnd w:id="307"/>
      <w:bookmarkEnd w:id="308"/>
      <w:bookmarkEnd w:id="309"/>
      <w:bookmarkEnd w:id="310"/>
      <w:bookmarkEnd w:id="311"/>
      <w:bookmarkEnd w:id="312"/>
    </w:p>
    <w:p w14:paraId="6C4C167D">
      <w:pPr>
        <w:pStyle w:val="22"/>
        <w:pageBreakBefore w:val="0"/>
        <w:kinsoku/>
        <w:wordWrap/>
        <w:overflowPunct/>
        <w:topLinePunct w:val="0"/>
        <w:autoSpaceDE w:val="0"/>
        <w:autoSpaceDN w:val="0"/>
        <w:bidi w:val="0"/>
        <w:adjustRightInd w:val="0"/>
        <w:snapToGrid w:val="0"/>
        <w:spacing w:line="360" w:lineRule="exact"/>
        <w:ind w:left="107" w:right="-29"/>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 xml:space="preserve"> </w:t>
      </w:r>
      <w:bookmarkEnd w:id="301"/>
      <w:bookmarkEnd w:id="302"/>
      <w:bookmarkEnd w:id="303"/>
      <w:bookmarkStart w:id="313" w:name="_Toc29916"/>
      <w:bookmarkStart w:id="314" w:name="_Toc15111"/>
      <w:bookmarkStart w:id="315" w:name="_Toc19002"/>
      <w:bookmarkStart w:id="316" w:name="_Toc25584"/>
      <w:bookmarkStart w:id="317" w:name="_Toc18525"/>
      <w:bookmarkStart w:id="318" w:name="_Toc31525"/>
      <w:bookmarkStart w:id="319" w:name="_Toc16256"/>
      <w:bookmarkStart w:id="320" w:name="_Toc25485"/>
      <w:r>
        <w:rPr>
          <w:rFonts w:hint="eastAsia" w:ascii="宋体" w:hAnsi="宋体" w:eastAsia="宋体" w:cs="宋体"/>
          <w:b/>
          <w:bCs/>
          <w:color w:val="auto"/>
          <w:sz w:val="24"/>
          <w:szCs w:val="24"/>
        </w:rPr>
        <w:t xml:space="preserve">                    二、初步评审（形式、资格、响应性评审）</w:t>
      </w:r>
      <w:bookmarkEnd w:id="313"/>
      <w:bookmarkEnd w:id="314"/>
      <w:bookmarkEnd w:id="315"/>
      <w:bookmarkEnd w:id="316"/>
      <w:bookmarkEnd w:id="317"/>
    </w:p>
    <w:tbl>
      <w:tblPr>
        <w:tblStyle w:val="15"/>
        <w:tblW w:w="10155" w:type="dxa"/>
        <w:tblInd w:w="95" w:type="dxa"/>
        <w:tblLayout w:type="fixed"/>
        <w:tblCellMar>
          <w:top w:w="0" w:type="dxa"/>
          <w:left w:w="0" w:type="dxa"/>
          <w:bottom w:w="0" w:type="dxa"/>
          <w:right w:w="0" w:type="dxa"/>
        </w:tblCellMar>
      </w:tblPr>
      <w:tblGrid>
        <w:gridCol w:w="495"/>
        <w:gridCol w:w="1788"/>
        <w:gridCol w:w="6451"/>
        <w:gridCol w:w="1421"/>
      </w:tblGrid>
      <w:tr w14:paraId="5777A979">
        <w:tblPrEx>
          <w:tblCellMar>
            <w:top w:w="0" w:type="dxa"/>
            <w:left w:w="0" w:type="dxa"/>
            <w:bottom w:w="0" w:type="dxa"/>
            <w:right w:w="0" w:type="dxa"/>
          </w:tblCellMar>
        </w:tblPrEx>
        <w:trPr>
          <w:trHeight w:val="400" w:hRule="exact"/>
        </w:trPr>
        <w:tc>
          <w:tcPr>
            <w:tcW w:w="495" w:type="dxa"/>
            <w:tcBorders>
              <w:top w:val="single" w:color="000000" w:sz="4" w:space="0"/>
              <w:left w:val="single" w:color="000000" w:sz="4" w:space="0"/>
              <w:bottom w:val="single" w:color="000000" w:sz="4" w:space="0"/>
              <w:right w:val="single" w:color="000000" w:sz="4" w:space="0"/>
            </w:tcBorders>
            <w:vAlign w:val="center"/>
          </w:tcPr>
          <w:p w14:paraId="6FE58455">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321" w:name="_Toc4755"/>
            <w:bookmarkStart w:id="322" w:name="_Toc13777"/>
            <w:bookmarkStart w:id="323" w:name="_Toc4061"/>
            <w:bookmarkStart w:id="324" w:name="_Toc22276"/>
            <w:bookmarkStart w:id="325" w:name="_Toc10985"/>
            <w:bookmarkStart w:id="326" w:name="_Toc2432"/>
            <w:bookmarkStart w:id="327" w:name="_Toc18399"/>
            <w:bookmarkStart w:id="328" w:name="_Toc10159"/>
            <w:r>
              <w:rPr>
                <w:rFonts w:hint="eastAsia" w:ascii="宋体" w:hAnsi="宋体" w:eastAsia="宋体" w:cs="宋体"/>
                <w:b w:val="0"/>
                <w:color w:val="auto"/>
                <w:sz w:val="24"/>
                <w:szCs w:val="24"/>
              </w:rPr>
              <w:t>序号</w:t>
            </w:r>
            <w:bookmarkEnd w:id="321"/>
            <w:bookmarkEnd w:id="322"/>
            <w:bookmarkEnd w:id="323"/>
            <w:bookmarkEnd w:id="324"/>
            <w:bookmarkEnd w:id="325"/>
            <w:bookmarkEnd w:id="326"/>
            <w:bookmarkEnd w:id="327"/>
            <w:bookmarkEnd w:id="328"/>
          </w:p>
        </w:tc>
        <w:tc>
          <w:tcPr>
            <w:tcW w:w="1788" w:type="dxa"/>
            <w:tcBorders>
              <w:top w:val="single" w:color="000000" w:sz="4" w:space="0"/>
              <w:left w:val="single" w:color="000000" w:sz="4" w:space="0"/>
              <w:bottom w:val="single" w:color="000000" w:sz="4" w:space="0"/>
              <w:right w:val="single" w:color="000000" w:sz="4" w:space="0"/>
            </w:tcBorders>
            <w:vAlign w:val="center"/>
          </w:tcPr>
          <w:p w14:paraId="6ACF8CDB">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329" w:name="_Toc21850"/>
            <w:bookmarkStart w:id="330" w:name="_Toc14044"/>
            <w:bookmarkStart w:id="331" w:name="_Toc559"/>
            <w:bookmarkStart w:id="332" w:name="_Toc29366"/>
            <w:bookmarkStart w:id="333" w:name="_Toc10298"/>
            <w:bookmarkStart w:id="334" w:name="_Toc17503"/>
            <w:bookmarkStart w:id="335" w:name="_Toc26102"/>
            <w:bookmarkStart w:id="336" w:name="_Toc30856"/>
            <w:r>
              <w:rPr>
                <w:rFonts w:hint="eastAsia" w:ascii="宋体" w:hAnsi="宋体" w:eastAsia="宋体" w:cs="宋体"/>
                <w:b w:val="0"/>
                <w:color w:val="auto"/>
                <w:sz w:val="24"/>
                <w:szCs w:val="24"/>
              </w:rPr>
              <w:t>指标名称</w:t>
            </w:r>
            <w:bookmarkEnd w:id="329"/>
            <w:bookmarkEnd w:id="330"/>
            <w:bookmarkEnd w:id="331"/>
            <w:bookmarkEnd w:id="332"/>
            <w:bookmarkEnd w:id="333"/>
            <w:bookmarkEnd w:id="334"/>
            <w:bookmarkEnd w:id="335"/>
            <w:bookmarkEnd w:id="336"/>
          </w:p>
        </w:tc>
        <w:tc>
          <w:tcPr>
            <w:tcW w:w="6451" w:type="dxa"/>
            <w:tcBorders>
              <w:top w:val="single" w:color="000000" w:sz="4" w:space="0"/>
              <w:left w:val="single" w:color="000000" w:sz="4" w:space="0"/>
              <w:bottom w:val="single" w:color="000000" w:sz="4" w:space="0"/>
              <w:right w:val="single" w:color="000000" w:sz="4" w:space="0"/>
            </w:tcBorders>
            <w:vAlign w:val="center"/>
          </w:tcPr>
          <w:p w14:paraId="347855FA">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337" w:name="_Toc1529"/>
            <w:bookmarkStart w:id="338" w:name="_Toc14122"/>
            <w:bookmarkStart w:id="339" w:name="_Toc20178"/>
            <w:bookmarkStart w:id="340" w:name="_Toc7537"/>
            <w:bookmarkStart w:id="341" w:name="_Toc23111"/>
            <w:bookmarkStart w:id="342" w:name="_Toc1452"/>
            <w:bookmarkStart w:id="343" w:name="_Toc31505"/>
            <w:bookmarkStart w:id="344" w:name="_Toc15666"/>
            <w:r>
              <w:rPr>
                <w:rFonts w:hint="eastAsia" w:ascii="宋体" w:hAnsi="宋体" w:eastAsia="宋体" w:cs="宋体"/>
                <w:b w:val="0"/>
                <w:color w:val="auto"/>
                <w:sz w:val="24"/>
                <w:szCs w:val="24"/>
              </w:rPr>
              <w:t>指标要求</w:t>
            </w:r>
            <w:bookmarkEnd w:id="337"/>
            <w:bookmarkEnd w:id="338"/>
            <w:bookmarkEnd w:id="339"/>
            <w:bookmarkEnd w:id="340"/>
            <w:bookmarkEnd w:id="341"/>
            <w:bookmarkEnd w:id="342"/>
            <w:bookmarkEnd w:id="343"/>
            <w:bookmarkEnd w:id="344"/>
          </w:p>
        </w:tc>
        <w:tc>
          <w:tcPr>
            <w:tcW w:w="1421" w:type="dxa"/>
            <w:tcBorders>
              <w:top w:val="single" w:color="000000" w:sz="4" w:space="0"/>
              <w:left w:val="single" w:color="000000" w:sz="4" w:space="0"/>
              <w:bottom w:val="single" w:color="000000" w:sz="4" w:space="0"/>
              <w:right w:val="single" w:color="000000" w:sz="4" w:space="0"/>
            </w:tcBorders>
            <w:vAlign w:val="center"/>
          </w:tcPr>
          <w:p w14:paraId="76190F5D">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345" w:name="_Toc10066"/>
            <w:bookmarkStart w:id="346" w:name="_Toc17985"/>
            <w:bookmarkStart w:id="347" w:name="_Toc12179"/>
            <w:bookmarkStart w:id="348" w:name="_Toc9201"/>
            <w:bookmarkStart w:id="349" w:name="_Toc25671"/>
            <w:bookmarkStart w:id="350" w:name="_Toc1065"/>
            <w:bookmarkStart w:id="351" w:name="_Toc16115"/>
            <w:bookmarkStart w:id="352" w:name="_Toc14311"/>
            <w:r>
              <w:rPr>
                <w:rFonts w:hint="eastAsia" w:ascii="宋体" w:hAnsi="宋体" w:eastAsia="宋体" w:cs="宋体"/>
                <w:b w:val="0"/>
                <w:color w:val="auto"/>
                <w:sz w:val="24"/>
                <w:szCs w:val="24"/>
              </w:rPr>
              <w:t>是否通过</w:t>
            </w:r>
            <w:bookmarkEnd w:id="345"/>
            <w:bookmarkEnd w:id="346"/>
            <w:bookmarkEnd w:id="347"/>
            <w:bookmarkEnd w:id="348"/>
            <w:bookmarkEnd w:id="349"/>
            <w:bookmarkEnd w:id="350"/>
            <w:bookmarkEnd w:id="351"/>
            <w:bookmarkEnd w:id="352"/>
          </w:p>
        </w:tc>
      </w:tr>
      <w:tr w14:paraId="4860CB2F">
        <w:tblPrEx>
          <w:tblCellMar>
            <w:top w:w="0" w:type="dxa"/>
            <w:left w:w="0" w:type="dxa"/>
            <w:bottom w:w="0" w:type="dxa"/>
            <w:right w:w="0" w:type="dxa"/>
          </w:tblCellMar>
        </w:tblPrEx>
        <w:trPr>
          <w:trHeight w:val="701" w:hRule="exact"/>
        </w:trPr>
        <w:tc>
          <w:tcPr>
            <w:tcW w:w="495" w:type="dxa"/>
            <w:tcBorders>
              <w:top w:val="single" w:color="000000" w:sz="4" w:space="0"/>
              <w:left w:val="single" w:color="000000" w:sz="4" w:space="0"/>
              <w:bottom w:val="single" w:color="000000" w:sz="4" w:space="0"/>
              <w:right w:val="single" w:color="000000" w:sz="4" w:space="0"/>
            </w:tcBorders>
            <w:vAlign w:val="center"/>
          </w:tcPr>
          <w:p w14:paraId="33B649F6">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353" w:name="_Toc32075"/>
            <w:bookmarkStart w:id="354" w:name="_Toc10477"/>
            <w:bookmarkStart w:id="355" w:name="_Toc26190"/>
            <w:bookmarkStart w:id="356" w:name="_Toc20916"/>
            <w:bookmarkStart w:id="357" w:name="_Toc20435"/>
            <w:bookmarkStart w:id="358" w:name="_Toc17596"/>
            <w:bookmarkStart w:id="359" w:name="_Toc3316"/>
            <w:bookmarkStart w:id="360" w:name="_Toc3964"/>
            <w:r>
              <w:rPr>
                <w:rFonts w:hint="eastAsia" w:ascii="宋体" w:hAnsi="宋体" w:eastAsia="宋体" w:cs="宋体"/>
                <w:b w:val="0"/>
                <w:color w:val="auto"/>
                <w:sz w:val="24"/>
                <w:szCs w:val="24"/>
              </w:rPr>
              <w:t>1</w:t>
            </w:r>
            <w:bookmarkEnd w:id="353"/>
            <w:bookmarkEnd w:id="354"/>
            <w:bookmarkEnd w:id="355"/>
            <w:bookmarkEnd w:id="356"/>
            <w:bookmarkEnd w:id="357"/>
            <w:bookmarkEnd w:id="358"/>
            <w:bookmarkEnd w:id="359"/>
            <w:bookmarkEnd w:id="360"/>
          </w:p>
        </w:tc>
        <w:tc>
          <w:tcPr>
            <w:tcW w:w="1788" w:type="dxa"/>
            <w:tcBorders>
              <w:top w:val="single" w:color="000000" w:sz="4" w:space="0"/>
              <w:left w:val="single" w:color="000000" w:sz="4" w:space="0"/>
              <w:bottom w:val="single" w:color="000000" w:sz="4" w:space="0"/>
              <w:right w:val="single" w:color="000000" w:sz="4" w:space="0"/>
            </w:tcBorders>
            <w:vAlign w:val="center"/>
          </w:tcPr>
          <w:p w14:paraId="6E56CB22">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361" w:name="_Toc6924"/>
            <w:bookmarkStart w:id="362" w:name="_Toc8818"/>
            <w:bookmarkStart w:id="363" w:name="_Toc1285"/>
            <w:bookmarkStart w:id="364" w:name="_Toc10210"/>
            <w:bookmarkStart w:id="365" w:name="_Toc14763"/>
            <w:bookmarkStart w:id="366" w:name="_Toc13608"/>
            <w:bookmarkStart w:id="367" w:name="_Toc11003"/>
            <w:bookmarkStart w:id="368" w:name="_Toc29966"/>
            <w:r>
              <w:rPr>
                <w:rFonts w:hint="eastAsia" w:ascii="宋体" w:hAnsi="宋体" w:eastAsia="宋体" w:cs="宋体"/>
                <w:b w:val="0"/>
                <w:color w:val="auto"/>
                <w:sz w:val="24"/>
                <w:szCs w:val="24"/>
              </w:rPr>
              <w:t>投标函</w:t>
            </w:r>
            <w:bookmarkEnd w:id="361"/>
            <w:bookmarkEnd w:id="362"/>
            <w:r>
              <w:rPr>
                <w:rFonts w:hint="eastAsia" w:ascii="宋体" w:hAnsi="宋体" w:eastAsia="宋体" w:cs="宋体"/>
                <w:b w:val="0"/>
                <w:color w:val="auto"/>
                <w:sz w:val="24"/>
                <w:szCs w:val="24"/>
              </w:rPr>
              <w:t>签字盖章</w:t>
            </w:r>
            <w:bookmarkEnd w:id="363"/>
            <w:bookmarkEnd w:id="364"/>
            <w:bookmarkEnd w:id="365"/>
            <w:bookmarkEnd w:id="366"/>
            <w:bookmarkEnd w:id="367"/>
            <w:bookmarkEnd w:id="368"/>
          </w:p>
        </w:tc>
        <w:tc>
          <w:tcPr>
            <w:tcW w:w="6451" w:type="dxa"/>
            <w:tcBorders>
              <w:top w:val="single" w:color="000000" w:sz="4" w:space="0"/>
              <w:left w:val="single" w:color="000000" w:sz="4" w:space="0"/>
              <w:bottom w:val="single" w:color="000000" w:sz="4" w:space="0"/>
              <w:right w:val="single" w:color="000000" w:sz="4" w:space="0"/>
            </w:tcBorders>
            <w:vAlign w:val="center"/>
          </w:tcPr>
          <w:p w14:paraId="3BF2E6AA">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369" w:name="_Toc30049"/>
            <w:bookmarkStart w:id="370" w:name="_Toc18828"/>
            <w:bookmarkStart w:id="371" w:name="_Toc18800"/>
            <w:bookmarkStart w:id="372" w:name="_Toc29051"/>
            <w:bookmarkStart w:id="373" w:name="_Toc21138"/>
            <w:r>
              <w:rPr>
                <w:rFonts w:hint="eastAsia" w:ascii="宋体" w:hAnsi="宋体" w:eastAsia="宋体" w:cs="宋体"/>
                <w:b w:val="0"/>
                <w:color w:val="auto"/>
                <w:sz w:val="24"/>
                <w:szCs w:val="24"/>
              </w:rPr>
              <w:t>有法定代表人(单位负责人）</w:t>
            </w:r>
            <w:r>
              <w:rPr>
                <w:rFonts w:hint="eastAsia" w:ascii="宋体" w:hAnsi="宋体" w:eastAsia="宋体" w:cs="宋体"/>
                <w:b w:val="0"/>
                <w:color w:val="auto"/>
                <w:sz w:val="24"/>
                <w:szCs w:val="24"/>
                <w:lang w:eastAsia="zh-CN"/>
              </w:rPr>
              <w:t>或</w:t>
            </w:r>
            <w:r>
              <w:rPr>
                <w:rFonts w:hint="eastAsia" w:ascii="宋体" w:hAnsi="宋体" w:eastAsia="宋体" w:cs="宋体"/>
                <w:b w:val="0"/>
                <w:color w:val="auto"/>
                <w:sz w:val="24"/>
                <w:szCs w:val="24"/>
              </w:rPr>
              <w:t>授权委托人签字或盖章并加盖</w:t>
            </w:r>
          </w:p>
          <w:p w14:paraId="3567A63A">
            <w:pPr>
              <w:pStyle w:val="8"/>
              <w:pageBreakBefore w:val="0"/>
              <w:widowControl/>
              <w:kinsoku/>
              <w:wordWrap/>
              <w:overflowPunct/>
              <w:topLinePunct w:val="0"/>
              <w:bidi w:val="0"/>
              <w:spacing w:line="360" w:lineRule="exact"/>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投标单位公章</w:t>
            </w:r>
            <w:bookmarkEnd w:id="369"/>
            <w:bookmarkEnd w:id="370"/>
            <w:bookmarkEnd w:id="371"/>
            <w:bookmarkEnd w:id="372"/>
            <w:bookmarkEnd w:id="373"/>
          </w:p>
        </w:tc>
        <w:tc>
          <w:tcPr>
            <w:tcW w:w="1421" w:type="dxa"/>
            <w:tcBorders>
              <w:top w:val="single" w:color="000000" w:sz="4" w:space="0"/>
              <w:left w:val="single" w:color="000000" w:sz="4" w:space="0"/>
              <w:bottom w:val="single" w:color="000000" w:sz="4" w:space="0"/>
              <w:right w:val="single" w:color="000000" w:sz="4" w:space="0"/>
            </w:tcBorders>
            <w:vAlign w:val="center"/>
          </w:tcPr>
          <w:p w14:paraId="503922D0">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p>
        </w:tc>
      </w:tr>
      <w:tr w14:paraId="4526F0D6">
        <w:tblPrEx>
          <w:tblCellMar>
            <w:top w:w="0" w:type="dxa"/>
            <w:left w:w="0" w:type="dxa"/>
            <w:bottom w:w="0" w:type="dxa"/>
            <w:right w:w="0" w:type="dxa"/>
          </w:tblCellMar>
        </w:tblPrEx>
        <w:trPr>
          <w:trHeight w:val="512" w:hRule="exact"/>
        </w:trPr>
        <w:tc>
          <w:tcPr>
            <w:tcW w:w="495" w:type="dxa"/>
            <w:tcBorders>
              <w:top w:val="single" w:color="000000" w:sz="4" w:space="0"/>
              <w:left w:val="single" w:color="000000" w:sz="4" w:space="0"/>
              <w:bottom w:val="single" w:color="000000" w:sz="4" w:space="0"/>
              <w:right w:val="single" w:color="000000" w:sz="4" w:space="0"/>
            </w:tcBorders>
            <w:vAlign w:val="center"/>
          </w:tcPr>
          <w:p w14:paraId="39268E1B">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374" w:name="_Toc26293"/>
            <w:bookmarkStart w:id="375" w:name="_Toc6853"/>
            <w:bookmarkStart w:id="376" w:name="_Toc15366"/>
            <w:bookmarkStart w:id="377" w:name="_Toc18886"/>
            <w:bookmarkStart w:id="378" w:name="_Toc9238"/>
            <w:r>
              <w:rPr>
                <w:rFonts w:hint="eastAsia" w:ascii="宋体" w:hAnsi="宋体" w:eastAsia="宋体" w:cs="宋体"/>
                <w:b w:val="0"/>
                <w:color w:val="auto"/>
                <w:sz w:val="24"/>
                <w:szCs w:val="24"/>
              </w:rPr>
              <w:t>2</w:t>
            </w:r>
            <w:bookmarkEnd w:id="374"/>
            <w:bookmarkEnd w:id="375"/>
            <w:bookmarkEnd w:id="376"/>
            <w:bookmarkEnd w:id="377"/>
            <w:bookmarkEnd w:id="378"/>
          </w:p>
        </w:tc>
        <w:tc>
          <w:tcPr>
            <w:tcW w:w="1788" w:type="dxa"/>
            <w:tcBorders>
              <w:top w:val="single" w:color="000000" w:sz="4" w:space="0"/>
              <w:left w:val="single" w:color="000000" w:sz="4" w:space="0"/>
              <w:bottom w:val="single" w:color="000000" w:sz="4" w:space="0"/>
              <w:right w:val="single" w:color="000000" w:sz="4" w:space="0"/>
            </w:tcBorders>
            <w:vAlign w:val="center"/>
          </w:tcPr>
          <w:p w14:paraId="171EB2C5">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379" w:name="_Toc3166"/>
            <w:bookmarkStart w:id="380" w:name="_Toc14281"/>
            <w:bookmarkStart w:id="381" w:name="_Toc27107"/>
            <w:bookmarkStart w:id="382" w:name="_Toc1571"/>
            <w:bookmarkStart w:id="383" w:name="_Toc16737"/>
            <w:bookmarkStart w:id="384" w:name="_Toc14663"/>
            <w:bookmarkStart w:id="385" w:name="_Toc18181"/>
            <w:bookmarkStart w:id="386" w:name="_Toc17548"/>
            <w:r>
              <w:rPr>
                <w:rFonts w:hint="eastAsia" w:ascii="宋体" w:hAnsi="宋体" w:eastAsia="宋体" w:cs="宋体"/>
                <w:b w:val="0"/>
                <w:color w:val="auto"/>
                <w:sz w:val="24"/>
                <w:szCs w:val="24"/>
              </w:rPr>
              <w:t>投标报价</w:t>
            </w:r>
            <w:bookmarkEnd w:id="379"/>
            <w:bookmarkEnd w:id="380"/>
            <w:bookmarkEnd w:id="381"/>
            <w:bookmarkEnd w:id="382"/>
            <w:bookmarkEnd w:id="383"/>
            <w:bookmarkEnd w:id="384"/>
            <w:bookmarkEnd w:id="385"/>
            <w:bookmarkEnd w:id="386"/>
          </w:p>
        </w:tc>
        <w:tc>
          <w:tcPr>
            <w:tcW w:w="6451" w:type="dxa"/>
            <w:tcBorders>
              <w:top w:val="single" w:color="000000" w:sz="4" w:space="0"/>
              <w:left w:val="single" w:color="000000" w:sz="4" w:space="0"/>
              <w:bottom w:val="single" w:color="000000" w:sz="4" w:space="0"/>
              <w:right w:val="single" w:color="000000" w:sz="4" w:space="0"/>
            </w:tcBorders>
            <w:vAlign w:val="center"/>
          </w:tcPr>
          <w:p w14:paraId="1FED8789">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387" w:name="_Toc3943"/>
            <w:bookmarkStart w:id="388" w:name="_Toc6668"/>
            <w:bookmarkStart w:id="389" w:name="_Toc11613"/>
            <w:bookmarkStart w:id="390" w:name="_Toc18396"/>
            <w:bookmarkStart w:id="391" w:name="_Toc11646"/>
            <w:bookmarkStart w:id="392" w:name="_Toc22969"/>
            <w:bookmarkStart w:id="393" w:name="_Toc19949"/>
            <w:bookmarkStart w:id="394" w:name="_Toc13553"/>
            <w:r>
              <w:rPr>
                <w:rFonts w:hint="eastAsia" w:ascii="宋体" w:hAnsi="宋体" w:eastAsia="宋体" w:cs="宋体"/>
                <w:b w:val="0"/>
                <w:color w:val="auto"/>
                <w:sz w:val="24"/>
                <w:szCs w:val="24"/>
              </w:rPr>
              <w:t>不得超出预算价</w:t>
            </w:r>
            <w:bookmarkEnd w:id="387"/>
            <w:bookmarkEnd w:id="388"/>
            <w:bookmarkEnd w:id="389"/>
            <w:bookmarkEnd w:id="390"/>
            <w:bookmarkEnd w:id="391"/>
            <w:bookmarkEnd w:id="392"/>
            <w:bookmarkEnd w:id="393"/>
            <w:bookmarkEnd w:id="394"/>
          </w:p>
        </w:tc>
        <w:tc>
          <w:tcPr>
            <w:tcW w:w="1421" w:type="dxa"/>
            <w:tcBorders>
              <w:top w:val="single" w:color="000000" w:sz="4" w:space="0"/>
              <w:left w:val="single" w:color="000000" w:sz="4" w:space="0"/>
              <w:bottom w:val="single" w:color="000000" w:sz="4" w:space="0"/>
              <w:right w:val="single" w:color="000000" w:sz="4" w:space="0"/>
            </w:tcBorders>
            <w:vAlign w:val="center"/>
          </w:tcPr>
          <w:p w14:paraId="22C95B75">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p>
        </w:tc>
      </w:tr>
      <w:tr w14:paraId="481F4292">
        <w:tblPrEx>
          <w:tblCellMar>
            <w:top w:w="0" w:type="dxa"/>
            <w:left w:w="0" w:type="dxa"/>
            <w:bottom w:w="0" w:type="dxa"/>
            <w:right w:w="0" w:type="dxa"/>
          </w:tblCellMar>
        </w:tblPrEx>
        <w:trPr>
          <w:trHeight w:val="483" w:hRule="exact"/>
        </w:trPr>
        <w:tc>
          <w:tcPr>
            <w:tcW w:w="495" w:type="dxa"/>
            <w:tcBorders>
              <w:top w:val="single" w:color="000000" w:sz="4" w:space="0"/>
              <w:left w:val="single" w:color="000000" w:sz="4" w:space="0"/>
              <w:bottom w:val="single" w:color="000000" w:sz="4" w:space="0"/>
              <w:right w:val="single" w:color="000000" w:sz="4" w:space="0"/>
            </w:tcBorders>
            <w:vAlign w:val="center"/>
          </w:tcPr>
          <w:p w14:paraId="4AF08EB1">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395" w:name="_Toc20164"/>
            <w:bookmarkStart w:id="396" w:name="_Toc14921"/>
            <w:bookmarkStart w:id="397" w:name="_Toc11091"/>
            <w:bookmarkStart w:id="398" w:name="_Toc17660"/>
            <w:bookmarkStart w:id="399" w:name="_Toc7123"/>
            <w:r>
              <w:rPr>
                <w:rFonts w:hint="eastAsia" w:ascii="宋体" w:hAnsi="宋体" w:eastAsia="宋体" w:cs="宋体"/>
                <w:b w:val="0"/>
                <w:color w:val="auto"/>
                <w:sz w:val="24"/>
                <w:szCs w:val="24"/>
              </w:rPr>
              <w:t>3</w:t>
            </w:r>
            <w:bookmarkEnd w:id="395"/>
            <w:bookmarkEnd w:id="396"/>
            <w:bookmarkEnd w:id="397"/>
            <w:bookmarkEnd w:id="398"/>
            <w:bookmarkEnd w:id="399"/>
          </w:p>
        </w:tc>
        <w:tc>
          <w:tcPr>
            <w:tcW w:w="1788" w:type="dxa"/>
            <w:tcBorders>
              <w:top w:val="single" w:color="000000" w:sz="4" w:space="0"/>
              <w:left w:val="single" w:color="000000" w:sz="4" w:space="0"/>
              <w:bottom w:val="single" w:color="000000" w:sz="4" w:space="0"/>
              <w:right w:val="single" w:color="000000" w:sz="4" w:space="0"/>
            </w:tcBorders>
            <w:vAlign w:val="center"/>
          </w:tcPr>
          <w:p w14:paraId="2235F828">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400" w:name="_Toc6732"/>
            <w:bookmarkStart w:id="401" w:name="_Toc15377"/>
            <w:bookmarkStart w:id="402" w:name="_Toc26491"/>
            <w:bookmarkStart w:id="403" w:name="_Toc15588"/>
            <w:bookmarkStart w:id="404" w:name="_Toc26488"/>
            <w:bookmarkStart w:id="405" w:name="_Toc15746"/>
            <w:bookmarkStart w:id="406" w:name="_Toc13785"/>
            <w:bookmarkStart w:id="407" w:name="_Toc10178"/>
            <w:r>
              <w:rPr>
                <w:rFonts w:hint="eastAsia" w:ascii="宋体" w:hAnsi="宋体" w:eastAsia="宋体" w:cs="宋体"/>
                <w:b w:val="0"/>
                <w:color w:val="auto"/>
                <w:sz w:val="24"/>
                <w:szCs w:val="24"/>
              </w:rPr>
              <w:t>供应商</w:t>
            </w:r>
            <w:bookmarkEnd w:id="400"/>
            <w:bookmarkEnd w:id="401"/>
            <w:bookmarkEnd w:id="402"/>
            <w:r>
              <w:rPr>
                <w:rFonts w:hint="eastAsia" w:ascii="宋体" w:hAnsi="宋体" w:eastAsia="宋体" w:cs="宋体"/>
                <w:b w:val="0"/>
                <w:color w:val="auto"/>
                <w:sz w:val="24"/>
                <w:szCs w:val="24"/>
              </w:rPr>
              <w:t>资格</w:t>
            </w:r>
            <w:bookmarkEnd w:id="403"/>
            <w:bookmarkEnd w:id="404"/>
            <w:bookmarkEnd w:id="405"/>
            <w:bookmarkEnd w:id="406"/>
            <w:bookmarkEnd w:id="407"/>
          </w:p>
        </w:tc>
        <w:tc>
          <w:tcPr>
            <w:tcW w:w="6451" w:type="dxa"/>
            <w:tcBorders>
              <w:top w:val="single" w:color="000000" w:sz="4" w:space="0"/>
              <w:left w:val="single" w:color="000000" w:sz="4" w:space="0"/>
              <w:bottom w:val="single" w:color="000000" w:sz="4" w:space="0"/>
              <w:right w:val="single" w:color="000000" w:sz="4" w:space="0"/>
            </w:tcBorders>
            <w:vAlign w:val="center"/>
          </w:tcPr>
          <w:p w14:paraId="7B5F87D2">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408" w:name="_Toc29257"/>
            <w:bookmarkStart w:id="409" w:name="_Toc13400"/>
            <w:bookmarkStart w:id="410" w:name="_Toc3704"/>
            <w:bookmarkStart w:id="411" w:name="_Toc29443"/>
            <w:bookmarkStart w:id="412" w:name="_Toc23900"/>
            <w:r>
              <w:rPr>
                <w:rFonts w:hint="eastAsia" w:ascii="宋体" w:hAnsi="宋体" w:eastAsia="宋体" w:cs="宋体"/>
                <w:b w:val="0"/>
                <w:color w:val="auto"/>
                <w:sz w:val="24"/>
                <w:szCs w:val="24"/>
              </w:rPr>
              <w:t>符合磋商公告要求</w:t>
            </w:r>
            <w:bookmarkEnd w:id="408"/>
            <w:bookmarkEnd w:id="409"/>
            <w:bookmarkEnd w:id="410"/>
            <w:bookmarkEnd w:id="411"/>
            <w:bookmarkEnd w:id="412"/>
          </w:p>
        </w:tc>
        <w:tc>
          <w:tcPr>
            <w:tcW w:w="1421" w:type="dxa"/>
            <w:tcBorders>
              <w:top w:val="single" w:color="000000" w:sz="4" w:space="0"/>
              <w:left w:val="single" w:color="000000" w:sz="4" w:space="0"/>
              <w:bottom w:val="single" w:color="000000" w:sz="4" w:space="0"/>
              <w:right w:val="single" w:color="000000" w:sz="4" w:space="0"/>
            </w:tcBorders>
            <w:vAlign w:val="center"/>
          </w:tcPr>
          <w:p w14:paraId="4DE0F4FA">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p>
        </w:tc>
      </w:tr>
      <w:tr w14:paraId="4C40EA82">
        <w:tblPrEx>
          <w:tblCellMar>
            <w:top w:w="0" w:type="dxa"/>
            <w:left w:w="0" w:type="dxa"/>
            <w:bottom w:w="0" w:type="dxa"/>
            <w:right w:w="0" w:type="dxa"/>
          </w:tblCellMar>
        </w:tblPrEx>
        <w:trPr>
          <w:trHeight w:val="467" w:hRule="exact"/>
        </w:trPr>
        <w:tc>
          <w:tcPr>
            <w:tcW w:w="495" w:type="dxa"/>
            <w:tcBorders>
              <w:top w:val="single" w:color="000000" w:sz="4" w:space="0"/>
              <w:left w:val="single" w:color="000000" w:sz="4" w:space="0"/>
              <w:bottom w:val="single" w:color="000000" w:sz="4" w:space="0"/>
              <w:right w:val="single" w:color="000000" w:sz="4" w:space="0"/>
            </w:tcBorders>
            <w:vAlign w:val="center"/>
          </w:tcPr>
          <w:p w14:paraId="6102A485">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413" w:name="_Toc5238"/>
            <w:bookmarkStart w:id="414" w:name="_Toc3272"/>
            <w:bookmarkStart w:id="415" w:name="_Toc1315"/>
            <w:bookmarkStart w:id="416" w:name="_Toc11599"/>
            <w:bookmarkStart w:id="417" w:name="_Toc19688"/>
            <w:r>
              <w:rPr>
                <w:rFonts w:hint="eastAsia" w:ascii="宋体" w:hAnsi="宋体" w:eastAsia="宋体" w:cs="宋体"/>
                <w:b w:val="0"/>
                <w:color w:val="auto"/>
                <w:sz w:val="24"/>
                <w:szCs w:val="24"/>
              </w:rPr>
              <w:t>4</w:t>
            </w:r>
            <w:bookmarkEnd w:id="413"/>
            <w:bookmarkEnd w:id="414"/>
            <w:bookmarkEnd w:id="415"/>
            <w:bookmarkEnd w:id="416"/>
            <w:bookmarkEnd w:id="417"/>
          </w:p>
        </w:tc>
        <w:tc>
          <w:tcPr>
            <w:tcW w:w="1788" w:type="dxa"/>
            <w:tcBorders>
              <w:top w:val="single" w:color="000000" w:sz="4" w:space="0"/>
              <w:left w:val="single" w:color="000000" w:sz="4" w:space="0"/>
              <w:bottom w:val="single" w:color="000000" w:sz="4" w:space="0"/>
              <w:right w:val="single" w:color="000000" w:sz="4" w:space="0"/>
            </w:tcBorders>
            <w:vAlign w:val="center"/>
          </w:tcPr>
          <w:p w14:paraId="5104C45C">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418" w:name="_Toc30118"/>
            <w:bookmarkStart w:id="419" w:name="_Toc26373"/>
            <w:bookmarkStart w:id="420" w:name="_Toc21835"/>
            <w:bookmarkStart w:id="421" w:name="_Toc14243"/>
            <w:bookmarkStart w:id="422" w:name="_Toc1352"/>
            <w:bookmarkStart w:id="423" w:name="_Toc4842"/>
            <w:bookmarkStart w:id="424" w:name="_Toc15584"/>
            <w:bookmarkStart w:id="425" w:name="_Toc31249"/>
            <w:r>
              <w:rPr>
                <w:rFonts w:hint="eastAsia" w:ascii="宋体" w:hAnsi="宋体" w:eastAsia="宋体" w:cs="宋体"/>
                <w:b w:val="0"/>
                <w:color w:val="auto"/>
                <w:sz w:val="24"/>
                <w:szCs w:val="24"/>
              </w:rPr>
              <w:t>投标</w:t>
            </w:r>
            <w:bookmarkEnd w:id="418"/>
            <w:bookmarkEnd w:id="419"/>
            <w:bookmarkEnd w:id="420"/>
            <w:bookmarkEnd w:id="421"/>
            <w:bookmarkEnd w:id="422"/>
            <w:bookmarkEnd w:id="423"/>
            <w:bookmarkEnd w:id="424"/>
            <w:r>
              <w:rPr>
                <w:rFonts w:hint="eastAsia" w:ascii="宋体" w:hAnsi="宋体" w:eastAsia="宋体" w:cs="宋体"/>
                <w:b w:val="0"/>
                <w:color w:val="auto"/>
                <w:sz w:val="24"/>
                <w:szCs w:val="24"/>
              </w:rPr>
              <w:t>文件</w:t>
            </w:r>
            <w:bookmarkEnd w:id="425"/>
            <w:r>
              <w:rPr>
                <w:rFonts w:hint="eastAsia" w:ascii="宋体" w:hAnsi="宋体" w:eastAsia="宋体" w:cs="宋体"/>
                <w:b w:val="0"/>
                <w:color w:val="auto"/>
                <w:sz w:val="24"/>
                <w:szCs w:val="24"/>
              </w:rPr>
              <w:t>内容</w:t>
            </w:r>
          </w:p>
        </w:tc>
        <w:tc>
          <w:tcPr>
            <w:tcW w:w="6451" w:type="dxa"/>
            <w:tcBorders>
              <w:top w:val="single" w:color="000000" w:sz="4" w:space="0"/>
              <w:left w:val="single" w:color="000000" w:sz="4" w:space="0"/>
              <w:bottom w:val="single" w:color="000000" w:sz="4" w:space="0"/>
              <w:right w:val="single" w:color="000000" w:sz="4" w:space="0"/>
            </w:tcBorders>
            <w:vAlign w:val="center"/>
          </w:tcPr>
          <w:p w14:paraId="092E9B46">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426" w:name="_Toc21700"/>
            <w:bookmarkStart w:id="427" w:name="_Toc14492"/>
            <w:bookmarkStart w:id="428" w:name="_Toc21406"/>
            <w:bookmarkStart w:id="429" w:name="_Toc17868"/>
            <w:bookmarkStart w:id="430" w:name="_Toc30584"/>
            <w:bookmarkStart w:id="431" w:name="_Toc8203"/>
            <w:bookmarkStart w:id="432" w:name="_Toc11319"/>
            <w:bookmarkStart w:id="433" w:name="_Toc9987"/>
            <w:r>
              <w:rPr>
                <w:rFonts w:hint="eastAsia" w:ascii="宋体" w:hAnsi="宋体" w:eastAsia="宋体" w:cs="宋体"/>
                <w:b w:val="0"/>
                <w:color w:val="auto"/>
                <w:sz w:val="24"/>
                <w:szCs w:val="24"/>
              </w:rPr>
              <w:t>符合磋商文件要求</w:t>
            </w:r>
            <w:bookmarkEnd w:id="426"/>
            <w:bookmarkEnd w:id="427"/>
            <w:bookmarkEnd w:id="428"/>
            <w:bookmarkEnd w:id="429"/>
            <w:bookmarkEnd w:id="430"/>
            <w:bookmarkEnd w:id="431"/>
            <w:bookmarkEnd w:id="432"/>
            <w:bookmarkEnd w:id="433"/>
          </w:p>
        </w:tc>
        <w:tc>
          <w:tcPr>
            <w:tcW w:w="1421" w:type="dxa"/>
            <w:tcBorders>
              <w:top w:val="single" w:color="000000" w:sz="4" w:space="0"/>
              <w:left w:val="single" w:color="000000" w:sz="4" w:space="0"/>
              <w:bottom w:val="single" w:color="000000" w:sz="4" w:space="0"/>
              <w:right w:val="single" w:color="000000" w:sz="4" w:space="0"/>
            </w:tcBorders>
            <w:vAlign w:val="center"/>
          </w:tcPr>
          <w:p w14:paraId="0C613AA3">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p>
        </w:tc>
      </w:tr>
      <w:tr w14:paraId="0ED95744">
        <w:tblPrEx>
          <w:tblCellMar>
            <w:top w:w="0" w:type="dxa"/>
            <w:left w:w="0" w:type="dxa"/>
            <w:bottom w:w="0" w:type="dxa"/>
            <w:right w:w="0" w:type="dxa"/>
          </w:tblCellMar>
        </w:tblPrEx>
        <w:trPr>
          <w:trHeight w:val="462" w:hRule="exact"/>
        </w:trPr>
        <w:tc>
          <w:tcPr>
            <w:tcW w:w="495" w:type="dxa"/>
            <w:tcBorders>
              <w:top w:val="single" w:color="000000" w:sz="4" w:space="0"/>
              <w:left w:val="single" w:color="000000" w:sz="4" w:space="0"/>
              <w:bottom w:val="single" w:color="000000" w:sz="4" w:space="0"/>
              <w:right w:val="single" w:color="000000" w:sz="4" w:space="0"/>
            </w:tcBorders>
            <w:vAlign w:val="center"/>
          </w:tcPr>
          <w:p w14:paraId="3C4C5604">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434" w:name="_Toc27804"/>
            <w:bookmarkStart w:id="435" w:name="_Toc70"/>
            <w:bookmarkStart w:id="436" w:name="_Toc22366"/>
            <w:bookmarkStart w:id="437" w:name="_Toc16688"/>
            <w:bookmarkStart w:id="438" w:name="_Toc21187"/>
            <w:r>
              <w:rPr>
                <w:rFonts w:hint="eastAsia" w:ascii="宋体" w:hAnsi="宋体" w:eastAsia="宋体" w:cs="宋体"/>
                <w:b w:val="0"/>
                <w:color w:val="auto"/>
                <w:sz w:val="24"/>
                <w:szCs w:val="24"/>
              </w:rPr>
              <w:t>5</w:t>
            </w:r>
            <w:bookmarkEnd w:id="434"/>
            <w:bookmarkEnd w:id="435"/>
            <w:bookmarkEnd w:id="436"/>
            <w:bookmarkEnd w:id="437"/>
            <w:bookmarkEnd w:id="438"/>
          </w:p>
        </w:tc>
        <w:tc>
          <w:tcPr>
            <w:tcW w:w="1788" w:type="dxa"/>
            <w:tcBorders>
              <w:top w:val="single" w:color="000000" w:sz="4" w:space="0"/>
              <w:left w:val="single" w:color="000000" w:sz="4" w:space="0"/>
              <w:bottom w:val="single" w:color="000000" w:sz="4" w:space="0"/>
              <w:right w:val="single" w:color="000000" w:sz="4" w:space="0"/>
            </w:tcBorders>
            <w:vAlign w:val="center"/>
          </w:tcPr>
          <w:p w14:paraId="2DFF8198">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439" w:name="_Toc20460"/>
            <w:bookmarkStart w:id="440" w:name="_Toc31508"/>
            <w:bookmarkStart w:id="441" w:name="_Toc29654"/>
            <w:bookmarkStart w:id="442" w:name="_Toc16299"/>
            <w:bookmarkStart w:id="443" w:name="_Toc31909"/>
            <w:bookmarkStart w:id="444" w:name="_Toc8596"/>
            <w:bookmarkStart w:id="445" w:name="_Toc28277"/>
            <w:bookmarkStart w:id="446" w:name="_Toc14256"/>
            <w:r>
              <w:rPr>
                <w:rFonts w:hint="eastAsia" w:ascii="宋体" w:hAnsi="宋体" w:eastAsia="宋体" w:cs="宋体"/>
                <w:b w:val="0"/>
                <w:color w:val="auto"/>
                <w:sz w:val="24"/>
                <w:szCs w:val="24"/>
                <w:lang w:eastAsia="zh-CN"/>
              </w:rPr>
              <w:t>服务</w:t>
            </w:r>
            <w:r>
              <w:rPr>
                <w:rFonts w:hint="eastAsia" w:ascii="宋体" w:hAnsi="宋体" w:eastAsia="宋体" w:cs="宋体"/>
                <w:b w:val="0"/>
                <w:color w:val="auto"/>
                <w:sz w:val="24"/>
                <w:szCs w:val="24"/>
              </w:rPr>
              <w:t>期</w:t>
            </w:r>
            <w:bookmarkEnd w:id="439"/>
            <w:bookmarkEnd w:id="440"/>
            <w:bookmarkEnd w:id="441"/>
            <w:bookmarkEnd w:id="442"/>
            <w:bookmarkEnd w:id="443"/>
            <w:bookmarkEnd w:id="444"/>
            <w:bookmarkEnd w:id="445"/>
            <w:bookmarkEnd w:id="446"/>
          </w:p>
        </w:tc>
        <w:tc>
          <w:tcPr>
            <w:tcW w:w="6451" w:type="dxa"/>
            <w:tcBorders>
              <w:top w:val="single" w:color="000000" w:sz="4" w:space="0"/>
              <w:left w:val="single" w:color="000000" w:sz="4" w:space="0"/>
              <w:bottom w:val="single" w:color="000000" w:sz="4" w:space="0"/>
              <w:right w:val="single" w:color="000000" w:sz="4" w:space="0"/>
            </w:tcBorders>
            <w:vAlign w:val="center"/>
          </w:tcPr>
          <w:p w14:paraId="16C75D90">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lang w:eastAsia="zh-CN"/>
              </w:rPr>
              <w:t>一年</w:t>
            </w:r>
          </w:p>
        </w:tc>
        <w:tc>
          <w:tcPr>
            <w:tcW w:w="1421" w:type="dxa"/>
            <w:tcBorders>
              <w:top w:val="single" w:color="000000" w:sz="4" w:space="0"/>
              <w:left w:val="single" w:color="000000" w:sz="4" w:space="0"/>
              <w:bottom w:val="single" w:color="000000" w:sz="4" w:space="0"/>
              <w:right w:val="single" w:color="000000" w:sz="4" w:space="0"/>
            </w:tcBorders>
            <w:vAlign w:val="center"/>
          </w:tcPr>
          <w:p w14:paraId="50491C81">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p>
        </w:tc>
      </w:tr>
      <w:tr w14:paraId="4C3ED3AE">
        <w:tblPrEx>
          <w:tblCellMar>
            <w:top w:w="0" w:type="dxa"/>
            <w:left w:w="0" w:type="dxa"/>
            <w:bottom w:w="0" w:type="dxa"/>
            <w:right w:w="0" w:type="dxa"/>
          </w:tblCellMar>
        </w:tblPrEx>
        <w:trPr>
          <w:trHeight w:val="467" w:hRule="exact"/>
        </w:trPr>
        <w:tc>
          <w:tcPr>
            <w:tcW w:w="495" w:type="dxa"/>
            <w:tcBorders>
              <w:top w:val="single" w:color="000000" w:sz="4" w:space="0"/>
              <w:left w:val="single" w:color="000000" w:sz="4" w:space="0"/>
              <w:bottom w:val="single" w:color="000000" w:sz="4" w:space="0"/>
              <w:right w:val="single" w:color="000000" w:sz="4" w:space="0"/>
            </w:tcBorders>
            <w:vAlign w:val="center"/>
          </w:tcPr>
          <w:p w14:paraId="02FB9566">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6</w:t>
            </w:r>
          </w:p>
        </w:tc>
        <w:tc>
          <w:tcPr>
            <w:tcW w:w="1788" w:type="dxa"/>
            <w:tcBorders>
              <w:top w:val="single" w:color="000000" w:sz="4" w:space="0"/>
              <w:left w:val="single" w:color="000000" w:sz="4" w:space="0"/>
              <w:bottom w:val="single" w:color="000000" w:sz="4" w:space="0"/>
              <w:right w:val="single" w:color="000000" w:sz="4" w:space="0"/>
            </w:tcBorders>
            <w:vAlign w:val="center"/>
          </w:tcPr>
          <w:p w14:paraId="53E22B03">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447" w:name="_Toc12882"/>
            <w:bookmarkStart w:id="448" w:name="_Toc31521"/>
            <w:bookmarkStart w:id="449" w:name="_Toc14488"/>
            <w:bookmarkStart w:id="450" w:name="_Toc26678"/>
            <w:bookmarkStart w:id="451" w:name="_Toc30625"/>
            <w:bookmarkStart w:id="452" w:name="_Toc11955"/>
            <w:bookmarkStart w:id="453" w:name="_Toc10506"/>
            <w:bookmarkStart w:id="454" w:name="_Toc10236"/>
            <w:r>
              <w:rPr>
                <w:rFonts w:hint="eastAsia" w:ascii="宋体" w:hAnsi="宋体" w:eastAsia="宋体" w:cs="宋体"/>
                <w:b w:val="0"/>
                <w:color w:val="auto"/>
                <w:sz w:val="24"/>
                <w:szCs w:val="24"/>
              </w:rPr>
              <w:t>投标有效期</w:t>
            </w:r>
            <w:bookmarkEnd w:id="447"/>
            <w:bookmarkEnd w:id="448"/>
            <w:bookmarkEnd w:id="449"/>
            <w:bookmarkEnd w:id="450"/>
            <w:bookmarkEnd w:id="451"/>
            <w:bookmarkEnd w:id="452"/>
            <w:bookmarkEnd w:id="453"/>
            <w:bookmarkEnd w:id="454"/>
          </w:p>
        </w:tc>
        <w:tc>
          <w:tcPr>
            <w:tcW w:w="6451" w:type="dxa"/>
            <w:tcBorders>
              <w:top w:val="single" w:color="000000" w:sz="4" w:space="0"/>
              <w:left w:val="single" w:color="000000" w:sz="4" w:space="0"/>
              <w:bottom w:val="single" w:color="000000" w:sz="4" w:space="0"/>
              <w:right w:val="single" w:color="000000" w:sz="4" w:space="0"/>
            </w:tcBorders>
            <w:vAlign w:val="center"/>
          </w:tcPr>
          <w:p w14:paraId="298F4B74">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bookmarkStart w:id="455" w:name="_Toc6542"/>
            <w:bookmarkStart w:id="456" w:name="_Toc28525"/>
            <w:bookmarkStart w:id="457" w:name="_Toc14259"/>
            <w:bookmarkStart w:id="458" w:name="_Toc22459"/>
            <w:bookmarkStart w:id="459" w:name="_Toc12806"/>
            <w:bookmarkStart w:id="460" w:name="_Toc26725"/>
            <w:r>
              <w:rPr>
                <w:rFonts w:hint="eastAsia" w:ascii="宋体" w:hAnsi="宋体" w:eastAsia="宋体" w:cs="宋体"/>
                <w:b w:val="0"/>
                <w:color w:val="auto"/>
                <w:sz w:val="24"/>
                <w:szCs w:val="24"/>
              </w:rPr>
              <w:t>90日历天</w:t>
            </w:r>
            <w:bookmarkEnd w:id="455"/>
            <w:bookmarkEnd w:id="456"/>
            <w:bookmarkEnd w:id="457"/>
            <w:bookmarkEnd w:id="458"/>
            <w:bookmarkEnd w:id="459"/>
            <w:bookmarkEnd w:id="460"/>
          </w:p>
        </w:tc>
        <w:tc>
          <w:tcPr>
            <w:tcW w:w="1421" w:type="dxa"/>
            <w:tcBorders>
              <w:top w:val="single" w:color="000000" w:sz="4" w:space="0"/>
              <w:left w:val="single" w:color="000000" w:sz="4" w:space="0"/>
              <w:bottom w:val="single" w:color="000000" w:sz="4" w:space="0"/>
              <w:right w:val="single" w:color="000000" w:sz="4" w:space="0"/>
            </w:tcBorders>
            <w:vAlign w:val="center"/>
          </w:tcPr>
          <w:p w14:paraId="7CD56939">
            <w:pPr>
              <w:pStyle w:val="8"/>
              <w:pageBreakBefore w:val="0"/>
              <w:widowControl/>
              <w:kinsoku/>
              <w:wordWrap/>
              <w:overflowPunct/>
              <w:topLinePunct w:val="0"/>
              <w:bidi w:val="0"/>
              <w:spacing w:line="360" w:lineRule="exact"/>
              <w:jc w:val="center"/>
              <w:textAlignment w:val="auto"/>
              <w:rPr>
                <w:rFonts w:hint="eastAsia" w:ascii="宋体" w:hAnsi="宋体" w:eastAsia="宋体" w:cs="宋体"/>
                <w:b w:val="0"/>
                <w:color w:val="auto"/>
                <w:sz w:val="24"/>
                <w:szCs w:val="24"/>
              </w:rPr>
            </w:pPr>
          </w:p>
        </w:tc>
      </w:tr>
    </w:tbl>
    <w:p w14:paraId="5F8EFE47">
      <w:pPr>
        <w:pStyle w:val="8"/>
        <w:pageBreakBefore w:val="0"/>
        <w:widowControl/>
        <w:kinsoku/>
        <w:wordWrap/>
        <w:overflowPunct/>
        <w:topLinePunct w:val="0"/>
        <w:bidi w:val="0"/>
        <w:spacing w:line="360" w:lineRule="exact"/>
        <w:jc w:val="center"/>
        <w:textAlignment w:val="auto"/>
        <w:rPr>
          <w:rFonts w:hint="eastAsia" w:ascii="宋体" w:hAnsi="宋体" w:eastAsia="宋体" w:cs="宋体"/>
          <w:color w:val="auto"/>
          <w:sz w:val="24"/>
          <w:szCs w:val="24"/>
        </w:rPr>
      </w:pPr>
      <w:bookmarkStart w:id="461" w:name="_Toc18544"/>
      <w:bookmarkStart w:id="462" w:name="_Toc14350"/>
      <w:bookmarkStart w:id="463" w:name="_Toc9271"/>
      <w:bookmarkStart w:id="464" w:name="_Toc17903"/>
      <w:bookmarkStart w:id="465" w:name="_Toc26515"/>
      <w:bookmarkStart w:id="466" w:name="_Toc9351"/>
      <w:bookmarkStart w:id="467" w:name="_Toc3823"/>
      <w:bookmarkStart w:id="468" w:name="_Toc26176"/>
      <w:r>
        <w:rPr>
          <w:rFonts w:hint="eastAsia" w:ascii="宋体" w:hAnsi="宋体" w:eastAsia="宋体" w:cs="宋体"/>
          <w:color w:val="auto"/>
          <w:sz w:val="24"/>
          <w:szCs w:val="24"/>
        </w:rPr>
        <w:t>三、评分细则详细评审</w:t>
      </w:r>
      <w:bookmarkEnd w:id="461"/>
      <w:bookmarkEnd w:id="462"/>
      <w:bookmarkEnd w:id="463"/>
      <w:bookmarkEnd w:id="464"/>
      <w:bookmarkEnd w:id="465"/>
      <w:bookmarkEnd w:id="466"/>
      <w:bookmarkEnd w:id="467"/>
      <w:bookmarkEnd w:id="468"/>
    </w:p>
    <w:p w14:paraId="31B20C78">
      <w:pPr>
        <w:pageBreakBefore w:val="0"/>
        <w:kinsoku/>
        <w:wordWrap/>
        <w:overflowPunct/>
        <w:topLinePunct w:val="0"/>
        <w:bidi w:val="0"/>
        <w:spacing w:line="360" w:lineRule="exact"/>
        <w:ind w:firstLine="480" w:firstLineChars="200"/>
        <w:textAlignment w:val="auto"/>
        <w:rPr>
          <w:rFonts w:hint="eastAsia" w:ascii="宋体" w:hAnsi="宋体" w:eastAsia="宋体" w:cs="宋体"/>
          <w:bCs/>
          <w:color w:val="auto"/>
          <w:kern w:val="44"/>
          <w:sz w:val="24"/>
          <w:szCs w:val="24"/>
        </w:rPr>
      </w:pPr>
      <w:r>
        <w:rPr>
          <w:rFonts w:hint="eastAsia" w:ascii="宋体" w:hAnsi="宋体" w:eastAsia="宋体" w:cs="宋体"/>
          <w:bCs/>
          <w:color w:val="auto"/>
          <w:kern w:val="44"/>
          <w:sz w:val="24"/>
          <w:szCs w:val="24"/>
        </w:rPr>
        <w:t>经初步评审合格的投标文件，评标委员会对其作进一步评审、比较，并量化打分，总分为100分。</w:t>
      </w:r>
      <w:r>
        <w:rPr>
          <w:rFonts w:hint="eastAsia" w:ascii="宋体" w:hAnsi="宋体" w:eastAsia="宋体" w:cs="宋体"/>
          <w:b/>
          <w:color w:val="auto"/>
          <w:kern w:val="44"/>
          <w:sz w:val="24"/>
          <w:szCs w:val="24"/>
        </w:rPr>
        <w:t>商务标：</w:t>
      </w:r>
      <w:r>
        <w:rPr>
          <w:rFonts w:hint="eastAsia" w:ascii="宋体" w:hAnsi="宋体" w:eastAsia="宋体" w:cs="宋体"/>
          <w:b/>
          <w:color w:val="auto"/>
          <w:kern w:val="44"/>
          <w:sz w:val="24"/>
          <w:szCs w:val="24"/>
          <w:lang w:val="en-US" w:eastAsia="zh-CN"/>
        </w:rPr>
        <w:t>1</w:t>
      </w:r>
      <w:r>
        <w:rPr>
          <w:rFonts w:hint="eastAsia" w:ascii="宋体" w:hAnsi="宋体" w:eastAsia="宋体" w:cs="宋体"/>
          <w:b/>
          <w:color w:val="auto"/>
          <w:kern w:val="44"/>
          <w:sz w:val="24"/>
          <w:szCs w:val="24"/>
        </w:rPr>
        <w:t>0分；</w:t>
      </w:r>
    </w:p>
    <w:tbl>
      <w:tblPr>
        <w:tblStyle w:val="15"/>
        <w:tblW w:w="10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3"/>
        <w:gridCol w:w="8473"/>
      </w:tblGrid>
      <w:tr w14:paraId="2134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3" w:type="dxa"/>
            <w:shd w:val="clear" w:color="auto" w:fill="FFFFFF"/>
            <w:vAlign w:val="center"/>
          </w:tcPr>
          <w:p w14:paraId="4DACAE23">
            <w:pPr>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评分项目</w:t>
            </w:r>
          </w:p>
        </w:tc>
        <w:tc>
          <w:tcPr>
            <w:tcW w:w="8473" w:type="dxa"/>
            <w:shd w:val="clear" w:color="auto" w:fill="FFFFFF"/>
            <w:vAlign w:val="center"/>
          </w:tcPr>
          <w:p w14:paraId="3BBBB6A4">
            <w:pPr>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评标内容及标准</w:t>
            </w:r>
          </w:p>
        </w:tc>
      </w:tr>
      <w:tr w14:paraId="7794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0" w:hRule="atLeast"/>
          <w:jc w:val="center"/>
        </w:trPr>
        <w:tc>
          <w:tcPr>
            <w:tcW w:w="1693" w:type="dxa"/>
            <w:vAlign w:val="center"/>
          </w:tcPr>
          <w:p w14:paraId="26AACA1F">
            <w:pPr>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投标报价</w:t>
            </w:r>
          </w:p>
          <w:p w14:paraId="32BEE62B">
            <w:pPr>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0</w:t>
            </w:r>
            <w:r>
              <w:rPr>
                <w:rFonts w:hint="eastAsia" w:ascii="宋体" w:hAnsi="宋体" w:eastAsia="宋体" w:cs="宋体"/>
                <w:bCs/>
                <w:color w:val="auto"/>
                <w:sz w:val="24"/>
                <w:szCs w:val="24"/>
                <w:lang w:val="zh-CN"/>
              </w:rPr>
              <w:t>分）</w:t>
            </w:r>
          </w:p>
        </w:tc>
        <w:tc>
          <w:tcPr>
            <w:tcW w:w="8473" w:type="dxa"/>
            <w:vAlign w:val="center"/>
          </w:tcPr>
          <w:p w14:paraId="11E1E13A">
            <w:pPr>
              <w:pageBreakBefore w:val="0"/>
              <w:kinsoku/>
              <w:wordWrap/>
              <w:overflowPunct/>
              <w:topLinePunct w:val="0"/>
              <w:autoSpaceDE w:val="0"/>
              <w:autoSpaceDN w:val="0"/>
              <w:bidi w:val="0"/>
              <w:adjustRightInd w:val="0"/>
              <w:snapToGrid w:val="0"/>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
              </w:rPr>
              <w:t>价格分应当采用低价优先法计算</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val="en"/>
              </w:rPr>
              <w:t>即满足招标文件要求且投标价格最低的投标报价为评标基准价，其价格分为满分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rPr>
              <w:t xml:space="preserve">0 </w:t>
            </w:r>
            <w:r>
              <w:rPr>
                <w:rFonts w:hint="eastAsia" w:ascii="宋体" w:hAnsi="宋体" w:eastAsia="宋体" w:cs="宋体"/>
                <w:color w:val="auto"/>
                <w:sz w:val="24"/>
                <w:szCs w:val="24"/>
              </w:rPr>
              <w:t>分</w:t>
            </w:r>
            <w:r>
              <w:rPr>
                <w:rFonts w:hint="eastAsia" w:ascii="宋体" w:hAnsi="宋体" w:eastAsia="宋体" w:cs="宋体"/>
                <w:color w:val="auto"/>
                <w:kern w:val="0"/>
                <w:sz w:val="24"/>
                <w:szCs w:val="24"/>
                <w:lang w:val="en"/>
              </w:rPr>
              <w:t>。其他投标供应商的价格分统一按照下列公式计算：</w:t>
            </w:r>
            <w:r>
              <w:rPr>
                <w:rFonts w:hint="eastAsia" w:ascii="宋体" w:hAnsi="宋体" w:eastAsia="宋体" w:cs="宋体"/>
                <w:bCs/>
                <w:color w:val="auto"/>
                <w:sz w:val="24"/>
                <w:szCs w:val="24"/>
              </w:rPr>
              <w:t>投</w:t>
            </w:r>
            <w:r>
              <w:rPr>
                <w:rFonts w:hint="eastAsia" w:ascii="宋体" w:hAnsi="宋体" w:eastAsia="宋体" w:cs="宋体"/>
                <w:color w:val="auto"/>
                <w:sz w:val="24"/>
                <w:szCs w:val="24"/>
              </w:rPr>
              <w:t>标报价得分＝（评标基准价/投标报价）×</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0％×100</w:t>
            </w:r>
          </w:p>
          <w:p w14:paraId="666B2C60">
            <w:pPr>
              <w:pageBreakBefore w:val="0"/>
              <w:kinsoku/>
              <w:wordWrap/>
              <w:overflowPunct/>
              <w:topLinePunct w:val="0"/>
              <w:autoSpaceDE w:val="0"/>
              <w:autoSpaceDN w:val="0"/>
              <w:bidi w:val="0"/>
              <w:adjustRightInd w:val="0"/>
              <w:snapToGrid w:val="0"/>
              <w:spacing w:line="360" w:lineRule="exact"/>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注：根据《政府采购促进中小企业发展管理办法》财库〔2020〕46号规定，评审时给予小微企业报价6%的价格扣除，用扣除后的价格参与评审。</w:t>
            </w:r>
          </w:p>
        </w:tc>
      </w:tr>
    </w:tbl>
    <w:p w14:paraId="27571208">
      <w:pPr>
        <w:pStyle w:val="9"/>
        <w:pageBreakBefore w:val="0"/>
        <w:kinsoku/>
        <w:wordWrap/>
        <w:overflowPunct/>
        <w:topLinePunct w:val="0"/>
        <w:bidi w:val="0"/>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技术标</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0分</w:t>
      </w:r>
    </w:p>
    <w:tbl>
      <w:tblPr>
        <w:tblStyle w:val="15"/>
        <w:tblW w:w="10185"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8453"/>
      </w:tblGrid>
      <w:tr w14:paraId="2F01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32" w:type="dxa"/>
            <w:noWrap w:val="0"/>
            <w:vAlign w:val="center"/>
          </w:tcPr>
          <w:p w14:paraId="2331BB33">
            <w:pPr>
              <w:pageBreakBefore w:val="0"/>
              <w:kinsoku/>
              <w:wordWrap/>
              <w:overflowPunct/>
              <w:topLinePunct w:val="0"/>
              <w:bidi w:val="0"/>
              <w:spacing w:line="360" w:lineRule="exact"/>
              <w:ind w:right="-19" w:rightChars="-9"/>
              <w:jc w:val="center"/>
              <w:textAlignment w:val="auto"/>
              <w:rPr>
                <w:rFonts w:hint="eastAsia" w:ascii="宋体" w:hAnsi="宋体" w:eastAsia="宋体" w:cs="宋体"/>
                <w:color w:val="auto"/>
                <w:sz w:val="24"/>
                <w:szCs w:val="24"/>
              </w:rPr>
            </w:pPr>
            <w:r>
              <w:rPr>
                <w:rFonts w:hint="eastAsia" w:ascii="宋体" w:hAnsi="宋体" w:eastAsia="宋体" w:cs="宋体"/>
                <w:color w:val="auto"/>
                <w:kern w:val="1"/>
                <w:sz w:val="24"/>
                <w:szCs w:val="24"/>
              </w:rPr>
              <w:t>评分因素</w:t>
            </w:r>
          </w:p>
        </w:tc>
        <w:tc>
          <w:tcPr>
            <w:tcW w:w="8453" w:type="dxa"/>
            <w:noWrap w:val="0"/>
            <w:vAlign w:val="center"/>
          </w:tcPr>
          <w:p w14:paraId="07C018C4">
            <w:pPr>
              <w:pageBreakBefore w:val="0"/>
              <w:kinsoku/>
              <w:wordWrap/>
              <w:overflowPunct/>
              <w:topLinePunct w:val="0"/>
              <w:bidi w:val="0"/>
              <w:spacing w:line="360" w:lineRule="exact"/>
              <w:ind w:right="-19" w:rightChars="-9"/>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1"/>
                <w:sz w:val="24"/>
                <w:szCs w:val="24"/>
              </w:rPr>
              <w:t>评审标准</w:t>
            </w:r>
          </w:p>
        </w:tc>
      </w:tr>
      <w:tr w14:paraId="6027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32" w:type="dxa"/>
            <w:noWrap w:val="0"/>
            <w:vAlign w:val="center"/>
          </w:tcPr>
          <w:p w14:paraId="52473D77">
            <w:pPr>
              <w:pageBreakBefore w:val="0"/>
              <w:kinsoku/>
              <w:wordWrap/>
              <w:overflowPunct/>
              <w:topLinePunct w:val="0"/>
              <w:bidi w:val="0"/>
              <w:spacing w:line="360" w:lineRule="exact"/>
              <w:ind w:right="-19" w:rightChars="-9"/>
              <w:jc w:val="both"/>
              <w:textAlignment w:val="auto"/>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采购需求响应</w:t>
            </w:r>
          </w:p>
          <w:p w14:paraId="13BF5E7D">
            <w:pPr>
              <w:pageBreakBefore w:val="0"/>
              <w:kinsoku/>
              <w:wordWrap/>
              <w:overflowPunct/>
              <w:topLinePunct w:val="0"/>
              <w:bidi w:val="0"/>
              <w:spacing w:line="360" w:lineRule="exact"/>
              <w:ind w:right="-19" w:rightChars="-9"/>
              <w:jc w:val="center"/>
              <w:textAlignment w:val="auto"/>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w:t>
            </w:r>
            <w:r>
              <w:rPr>
                <w:rFonts w:hint="eastAsia" w:ascii="宋体" w:hAnsi="宋体" w:eastAsia="宋体" w:cs="宋体"/>
                <w:color w:val="auto"/>
                <w:kern w:val="1"/>
                <w:sz w:val="24"/>
                <w:szCs w:val="24"/>
                <w:lang w:val="en-US" w:eastAsia="zh-CN"/>
              </w:rPr>
              <w:t>30</w:t>
            </w:r>
            <w:r>
              <w:rPr>
                <w:rFonts w:hint="eastAsia" w:ascii="宋体" w:hAnsi="宋体" w:eastAsia="宋体" w:cs="宋体"/>
                <w:color w:val="auto"/>
                <w:kern w:val="1"/>
                <w:sz w:val="24"/>
                <w:szCs w:val="24"/>
              </w:rPr>
              <w:t>分）</w:t>
            </w:r>
          </w:p>
        </w:tc>
        <w:tc>
          <w:tcPr>
            <w:tcW w:w="8453" w:type="dxa"/>
            <w:noWrap w:val="0"/>
            <w:vAlign w:val="center"/>
          </w:tcPr>
          <w:p w14:paraId="6DB661CE">
            <w:pPr>
              <w:pageBreakBefore w:val="0"/>
              <w:kinsoku/>
              <w:wordWrap/>
              <w:overflowPunct/>
              <w:topLinePunct w:val="0"/>
              <w:bidi w:val="0"/>
              <w:spacing w:line="360" w:lineRule="exact"/>
              <w:ind w:right="-19" w:rightChars="-9"/>
              <w:textAlignment w:val="auto"/>
              <w:rPr>
                <w:rFonts w:hint="eastAsia" w:ascii="宋体" w:hAnsi="宋体" w:eastAsia="宋体" w:cs="宋体"/>
                <w:color w:val="auto"/>
                <w:kern w:val="1"/>
                <w:sz w:val="24"/>
                <w:szCs w:val="24"/>
                <w:lang w:eastAsia="zh-CN"/>
              </w:rPr>
            </w:pPr>
            <w:r>
              <w:rPr>
                <w:rFonts w:hint="eastAsia" w:ascii="宋体" w:hAnsi="宋体" w:eastAsia="宋体" w:cs="宋体"/>
                <w:color w:val="auto"/>
                <w:sz w:val="24"/>
                <w:szCs w:val="24"/>
              </w:rPr>
              <w:t>采购需求全部</w:t>
            </w:r>
            <w:r>
              <w:rPr>
                <w:rFonts w:hint="eastAsia" w:ascii="宋体" w:hAnsi="宋体" w:eastAsia="宋体" w:cs="宋体"/>
                <w:color w:val="auto"/>
                <w:sz w:val="24"/>
                <w:szCs w:val="24"/>
                <w:lang w:eastAsia="zh-CN"/>
              </w:rPr>
              <w:t>响应的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不</w:t>
            </w:r>
            <w:r>
              <w:rPr>
                <w:rFonts w:hint="eastAsia" w:ascii="宋体" w:hAnsi="宋体" w:eastAsia="宋体" w:cs="宋体"/>
                <w:color w:val="auto"/>
                <w:sz w:val="24"/>
                <w:szCs w:val="24"/>
              </w:rPr>
              <w:t>全部</w:t>
            </w:r>
            <w:r>
              <w:rPr>
                <w:rFonts w:hint="eastAsia" w:ascii="宋体" w:hAnsi="宋体" w:eastAsia="宋体" w:cs="宋体"/>
                <w:color w:val="auto"/>
                <w:sz w:val="24"/>
                <w:szCs w:val="24"/>
                <w:lang w:eastAsia="zh-CN"/>
              </w:rPr>
              <w:t>响应本项不得分。</w:t>
            </w:r>
          </w:p>
        </w:tc>
      </w:tr>
      <w:tr w14:paraId="3AFD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32" w:type="dxa"/>
            <w:noWrap w:val="0"/>
            <w:vAlign w:val="center"/>
          </w:tcPr>
          <w:p w14:paraId="522BCE07">
            <w:pPr>
              <w:pageBreakBefore w:val="0"/>
              <w:kinsoku/>
              <w:wordWrap/>
              <w:overflowPunct/>
              <w:topLinePunct w:val="0"/>
              <w:bidi w:val="0"/>
              <w:spacing w:line="360" w:lineRule="exact"/>
              <w:ind w:right="-19" w:rightChars="-9"/>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1"/>
                <w:sz w:val="24"/>
                <w:szCs w:val="24"/>
                <w:lang w:eastAsia="zh"/>
              </w:rPr>
              <w:t>业绩</w:t>
            </w:r>
            <w:r>
              <w:rPr>
                <w:rFonts w:hint="eastAsia" w:ascii="宋体" w:hAnsi="宋体" w:eastAsia="宋体" w:cs="宋体"/>
                <w:color w:val="auto"/>
                <w:kern w:val="1"/>
                <w:sz w:val="24"/>
                <w:szCs w:val="24"/>
              </w:rPr>
              <w:t>（</w:t>
            </w:r>
            <w:r>
              <w:rPr>
                <w:rFonts w:hint="eastAsia" w:ascii="宋体" w:hAnsi="宋体" w:eastAsia="宋体" w:cs="宋体"/>
                <w:color w:val="auto"/>
                <w:kern w:val="1"/>
                <w:sz w:val="24"/>
                <w:szCs w:val="24"/>
                <w:lang w:val="en-US" w:eastAsia="zh-CN"/>
              </w:rPr>
              <w:t>20</w:t>
            </w:r>
            <w:r>
              <w:rPr>
                <w:rFonts w:hint="eastAsia" w:ascii="宋体" w:hAnsi="宋体" w:eastAsia="宋体" w:cs="宋体"/>
                <w:color w:val="auto"/>
                <w:kern w:val="1"/>
                <w:sz w:val="24"/>
                <w:szCs w:val="24"/>
              </w:rPr>
              <w:t>分）</w:t>
            </w:r>
          </w:p>
        </w:tc>
        <w:tc>
          <w:tcPr>
            <w:tcW w:w="8453" w:type="dxa"/>
            <w:noWrap w:val="0"/>
            <w:vAlign w:val="center"/>
          </w:tcPr>
          <w:p w14:paraId="7C33A582">
            <w:pPr>
              <w:pStyle w:val="24"/>
              <w:pageBreakBefore w:val="0"/>
              <w:kinsoku/>
              <w:wordWrap/>
              <w:overflowPunct/>
              <w:topLinePunct w:val="0"/>
              <w:bidi w:val="0"/>
              <w:spacing w:line="360" w:lineRule="exact"/>
              <w:ind w:right="-19" w:rightChars="-9"/>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自201</w:t>
            </w:r>
            <w:r>
              <w:rPr>
                <w:rFonts w:hint="eastAsia" w:ascii="宋体" w:hAnsi="宋体" w:eastAsia="宋体" w:cs="宋体"/>
                <w:color w:val="auto"/>
                <w:sz w:val="24"/>
                <w:szCs w:val="24"/>
                <w:lang w:eastAsia="zh"/>
              </w:rPr>
              <w:t>9</w:t>
            </w:r>
            <w:r>
              <w:rPr>
                <w:rFonts w:hint="eastAsia" w:ascii="宋体" w:hAnsi="宋体" w:eastAsia="宋体" w:cs="宋体"/>
                <w:color w:val="auto"/>
                <w:sz w:val="24"/>
                <w:szCs w:val="24"/>
              </w:rPr>
              <w:t>年1月1日以来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具有类似运维服务业绩</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限县/处及以上相关单位或部门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每</w:t>
            </w:r>
            <w:r>
              <w:rPr>
                <w:rFonts w:hint="eastAsia" w:ascii="宋体" w:hAnsi="宋体" w:eastAsia="宋体" w:cs="宋体"/>
                <w:color w:val="auto"/>
                <w:sz w:val="24"/>
                <w:szCs w:val="24"/>
              </w:rPr>
              <w:t>提供一个得</w:t>
            </w:r>
            <w:r>
              <w:rPr>
                <w:rFonts w:hint="eastAsia"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满分</w:t>
            </w:r>
            <w:r>
              <w:rPr>
                <w:rFonts w:hint="eastAsia" w:eastAsia="宋体" w:cs="宋体"/>
                <w:color w:val="auto"/>
                <w:sz w:val="24"/>
                <w:szCs w:val="24"/>
                <w:lang w:val="en-US" w:eastAsia="zh-CN"/>
              </w:rPr>
              <w:t>15</w:t>
            </w:r>
            <w:r>
              <w:rPr>
                <w:rFonts w:hint="eastAsia" w:ascii="宋体" w:hAnsi="宋体" w:eastAsia="宋体" w:cs="宋体"/>
                <w:color w:val="auto"/>
                <w:sz w:val="24"/>
                <w:szCs w:val="24"/>
              </w:rPr>
              <w:t>分（提供合同复印件）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不提供不得分。</w:t>
            </w:r>
          </w:p>
          <w:p w14:paraId="2927CEE3">
            <w:pPr>
              <w:pStyle w:val="24"/>
              <w:pageBreakBefore w:val="0"/>
              <w:kinsoku/>
              <w:wordWrap/>
              <w:overflowPunct/>
              <w:topLinePunct w:val="0"/>
              <w:bidi w:val="0"/>
              <w:spacing w:line="360" w:lineRule="exact"/>
              <w:ind w:right="-19" w:rightChars="-9"/>
              <w:textAlignment w:val="auto"/>
              <w:rPr>
                <w:rFonts w:hint="eastAsia" w:ascii="宋体" w:hAnsi="宋体" w:eastAsia="宋体" w:cs="宋体"/>
                <w:color w:val="auto"/>
                <w:sz w:val="24"/>
                <w:szCs w:val="24"/>
                <w:lang w:val="en-US" w:eastAsia="zh"/>
              </w:rPr>
            </w:pPr>
            <w:r>
              <w:rPr>
                <w:rFonts w:hint="eastAsia" w:ascii="宋体" w:hAnsi="宋体" w:eastAsia="宋体" w:cs="宋体"/>
                <w:color w:val="auto"/>
                <w:sz w:val="24"/>
                <w:szCs w:val="24"/>
                <w:lang w:val="en-US" w:eastAsia="zh-CN"/>
              </w:rPr>
              <w:t>自201</w:t>
            </w:r>
            <w:r>
              <w:rPr>
                <w:rFonts w:hint="eastAsia" w:ascii="宋体" w:hAnsi="宋体" w:eastAsia="宋体" w:cs="宋体"/>
                <w:color w:val="auto"/>
                <w:sz w:val="24"/>
                <w:szCs w:val="24"/>
                <w:lang w:val="en-US" w:eastAsia="zh"/>
              </w:rPr>
              <w:t>9</w:t>
            </w:r>
            <w:r>
              <w:rPr>
                <w:rFonts w:hint="eastAsia" w:ascii="宋体" w:hAnsi="宋体" w:eastAsia="宋体" w:cs="宋体"/>
                <w:color w:val="auto"/>
                <w:sz w:val="24"/>
                <w:szCs w:val="24"/>
                <w:lang w:val="en-US" w:eastAsia="zh-CN"/>
              </w:rPr>
              <w:t>年1月1日以来，投标人具有为采购人单位提供</w:t>
            </w:r>
            <w:r>
              <w:rPr>
                <w:rFonts w:hint="eastAsia" w:eastAsia="宋体" w:cs="宋体"/>
                <w:color w:val="auto"/>
                <w:sz w:val="24"/>
                <w:szCs w:val="24"/>
                <w:lang w:val="en-US" w:eastAsia="zh-CN"/>
              </w:rPr>
              <w:t>应急</w:t>
            </w:r>
            <w:r>
              <w:rPr>
                <w:rFonts w:hint="eastAsia" w:ascii="宋体" w:hAnsi="宋体" w:eastAsia="宋体" w:cs="宋体"/>
                <w:color w:val="auto"/>
                <w:sz w:val="24"/>
                <w:szCs w:val="24"/>
                <w:lang w:val="en-US" w:eastAsia="zh-CN"/>
              </w:rPr>
              <w:t>业务服务</w:t>
            </w:r>
            <w:r>
              <w:rPr>
                <w:rFonts w:hint="eastAsia" w:eastAsia="宋体" w:cs="宋体"/>
                <w:color w:val="auto"/>
                <w:sz w:val="24"/>
                <w:szCs w:val="24"/>
                <w:lang w:val="en-US" w:eastAsia="zh-CN"/>
              </w:rPr>
              <w:t>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限县/处及以上相关单位或部门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提供一个</w:t>
            </w:r>
            <w:r>
              <w:rPr>
                <w:rFonts w:hint="eastAsia" w:ascii="宋体" w:hAnsi="宋体" w:eastAsia="宋体" w:cs="宋体"/>
                <w:color w:val="auto"/>
                <w:sz w:val="24"/>
                <w:szCs w:val="24"/>
                <w:lang w:val="en-US" w:eastAsia="zh-CN"/>
              </w:rPr>
              <w:t>得5分（提供合同复印件），</w:t>
            </w:r>
            <w:r>
              <w:rPr>
                <w:rFonts w:hint="eastAsia" w:eastAsia="宋体" w:cs="宋体"/>
                <w:color w:val="auto"/>
                <w:sz w:val="24"/>
                <w:szCs w:val="24"/>
                <w:lang w:val="en-US" w:eastAsia="zh-CN"/>
              </w:rPr>
              <w:t>满分5分，</w:t>
            </w:r>
            <w:r>
              <w:rPr>
                <w:rFonts w:hint="eastAsia" w:ascii="宋体" w:hAnsi="宋体" w:eastAsia="宋体" w:cs="宋体"/>
                <w:color w:val="auto"/>
                <w:sz w:val="24"/>
                <w:szCs w:val="24"/>
                <w:lang w:val="en-US" w:eastAsia="zh-CN"/>
              </w:rPr>
              <w:t>不提供不得分。</w:t>
            </w:r>
          </w:p>
        </w:tc>
      </w:tr>
      <w:tr w14:paraId="316F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2" w:type="dxa"/>
            <w:noWrap w:val="0"/>
            <w:vAlign w:val="center"/>
          </w:tcPr>
          <w:p w14:paraId="746F336E">
            <w:pPr>
              <w:pageBreakBefore w:val="0"/>
              <w:kinsoku/>
              <w:wordWrap/>
              <w:overflowPunct/>
              <w:topLinePunct w:val="0"/>
              <w:bidi w:val="0"/>
              <w:spacing w:line="360" w:lineRule="exact"/>
              <w:ind w:right="-19" w:rightChars="-9"/>
              <w:jc w:val="both"/>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运维</w:t>
            </w:r>
            <w:r>
              <w:rPr>
                <w:rFonts w:hint="eastAsia" w:ascii="宋体" w:hAnsi="宋体" w:eastAsia="宋体" w:cs="宋体"/>
                <w:b w:val="0"/>
                <w:bCs w:val="0"/>
                <w:color w:val="auto"/>
                <w:sz w:val="24"/>
                <w:szCs w:val="24"/>
              </w:rPr>
              <w:t>人员</w:t>
            </w:r>
            <w:r>
              <w:rPr>
                <w:rFonts w:hint="eastAsia" w:ascii="宋体" w:hAnsi="宋体" w:eastAsia="宋体" w:cs="宋体"/>
                <w:b w:val="0"/>
                <w:bCs w:val="0"/>
                <w:color w:val="auto"/>
                <w:sz w:val="24"/>
                <w:szCs w:val="24"/>
                <w:lang w:val="en-US" w:eastAsia="zh-CN"/>
              </w:rPr>
              <w:t>及要求</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分）</w:t>
            </w:r>
          </w:p>
        </w:tc>
        <w:tc>
          <w:tcPr>
            <w:tcW w:w="8453" w:type="dxa"/>
            <w:noWrap w:val="0"/>
            <w:vAlign w:val="center"/>
          </w:tcPr>
          <w:p w14:paraId="2AEC60BA">
            <w:pPr>
              <w:pageBreakBefore w:val="0"/>
              <w:numPr>
                <w:ilvl w:val="0"/>
                <w:numId w:val="0"/>
              </w:numPr>
              <w:kinsoku/>
              <w:wordWrap/>
              <w:overflowPunct/>
              <w:topLinePunct w:val="0"/>
              <w:bidi w:val="0"/>
              <w:spacing w:line="3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rPr>
              <w:t>投标人承诺为</w:t>
            </w:r>
            <w:r>
              <w:rPr>
                <w:rFonts w:hint="eastAsia" w:ascii="宋体" w:hAnsi="宋体" w:eastAsia="宋体" w:cs="宋体"/>
                <w:color w:val="auto"/>
                <w:kern w:val="0"/>
                <w:sz w:val="24"/>
                <w:szCs w:val="24"/>
              </w:rPr>
              <w:t>采购人单位</w:t>
            </w:r>
            <w:r>
              <w:rPr>
                <w:rFonts w:hint="eastAsia" w:ascii="宋体" w:hAnsi="宋体" w:eastAsia="宋体" w:cs="宋体"/>
                <w:color w:val="auto"/>
                <w:kern w:val="0"/>
                <w:sz w:val="24"/>
                <w:szCs w:val="24"/>
                <w:lang w:val="en-US" w:eastAsia="zh-CN"/>
              </w:rPr>
              <w:t>提供至少一名运维</w:t>
            </w:r>
            <w:r>
              <w:rPr>
                <w:rFonts w:hint="eastAsia" w:ascii="宋体" w:hAnsi="宋体" w:eastAsia="宋体" w:cs="宋体"/>
                <w:color w:val="auto"/>
                <w:kern w:val="0"/>
                <w:sz w:val="24"/>
                <w:szCs w:val="24"/>
              </w:rPr>
              <w:t>人员、</w:t>
            </w:r>
            <w:r>
              <w:rPr>
                <w:rFonts w:hint="eastAsia" w:ascii="宋体" w:hAnsi="宋体" w:eastAsia="宋体" w:cs="宋体"/>
                <w:color w:val="auto"/>
                <w:kern w:val="0"/>
                <w:sz w:val="24"/>
                <w:szCs w:val="24"/>
                <w:lang w:val="en-US" w:eastAsia="zh-CN"/>
              </w:rPr>
              <w:t>每周24</w:t>
            </w:r>
            <w:r>
              <w:rPr>
                <w:rFonts w:hint="eastAsia" w:ascii="宋体" w:hAnsi="宋体" w:eastAsia="宋体" w:cs="宋体"/>
                <w:color w:val="auto"/>
                <w:kern w:val="0"/>
                <w:sz w:val="24"/>
                <w:szCs w:val="24"/>
              </w:rPr>
              <w:t>小时×</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天的</w:t>
            </w:r>
            <w:r>
              <w:rPr>
                <w:rFonts w:hint="eastAsia" w:ascii="宋体" w:hAnsi="宋体" w:eastAsia="宋体" w:cs="宋体"/>
                <w:color w:val="auto"/>
                <w:kern w:val="0"/>
                <w:sz w:val="24"/>
                <w:szCs w:val="24"/>
                <w:lang w:val="en-US" w:eastAsia="zh-CN"/>
              </w:rPr>
              <w:t>应急保障</w:t>
            </w:r>
            <w:r>
              <w:rPr>
                <w:rFonts w:hint="eastAsia" w:ascii="宋体" w:hAnsi="宋体" w:eastAsia="宋体" w:cs="宋体"/>
                <w:color w:val="auto"/>
                <w:kern w:val="0"/>
                <w:sz w:val="24"/>
                <w:szCs w:val="24"/>
              </w:rPr>
              <w:t>的</w:t>
            </w:r>
            <w:r>
              <w:rPr>
                <w:rFonts w:hint="eastAsia" w:ascii="宋体" w:hAnsi="宋体" w:eastAsia="宋体" w:cs="宋体"/>
                <w:color w:val="auto"/>
                <w:kern w:val="0"/>
                <w:sz w:val="24"/>
                <w:szCs w:val="24"/>
                <w:lang w:val="en-US" w:eastAsia="zh-CN"/>
              </w:rPr>
              <w:t>得10</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val="en-US" w:eastAsia="zh-CN"/>
              </w:rPr>
              <w:t>。提</w:t>
            </w:r>
            <w:r>
              <w:rPr>
                <w:rFonts w:hint="eastAsia" w:ascii="宋体" w:hAnsi="宋体" w:eastAsia="宋体" w:cs="宋体"/>
                <w:color w:val="auto"/>
                <w:kern w:val="0"/>
                <w:sz w:val="24"/>
                <w:szCs w:val="24"/>
              </w:rPr>
              <w:t>供人员身份证正反面（投标时提供的</w:t>
            </w:r>
            <w:r>
              <w:rPr>
                <w:rFonts w:hint="eastAsia" w:ascii="宋体" w:hAnsi="宋体" w:eastAsia="宋体" w:cs="宋体"/>
                <w:color w:val="auto"/>
                <w:kern w:val="0"/>
                <w:sz w:val="24"/>
                <w:szCs w:val="24"/>
                <w:lang w:val="en-US" w:eastAsia="zh-CN"/>
              </w:rPr>
              <w:t>运维</w:t>
            </w:r>
            <w:r>
              <w:rPr>
                <w:rFonts w:hint="eastAsia" w:ascii="宋体" w:hAnsi="宋体" w:eastAsia="宋体" w:cs="宋体"/>
                <w:color w:val="auto"/>
                <w:kern w:val="0"/>
                <w:sz w:val="24"/>
                <w:szCs w:val="24"/>
              </w:rPr>
              <w:t>人员名单未经许可不得更换，否则视为违约）不提供不得分。</w:t>
            </w:r>
          </w:p>
          <w:p w14:paraId="0386DA63">
            <w:pPr>
              <w:pageBreakBefore w:val="0"/>
              <w:numPr>
                <w:ilvl w:val="0"/>
                <w:numId w:val="0"/>
              </w:numPr>
              <w:kinsoku/>
              <w:wordWrap/>
              <w:overflowPunct/>
              <w:topLinePunct w:val="0"/>
              <w:bidi w:val="0"/>
              <w:spacing w:line="3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rPr>
              <w:t>投标人承诺为该项目提供至少三人的技术支撑服务团队，得5分。不足三人不得分。</w:t>
            </w:r>
          </w:p>
          <w:p w14:paraId="241A8640">
            <w:pPr>
              <w:pageBreakBefore w:val="0"/>
              <w:numPr>
                <w:ilvl w:val="0"/>
                <w:numId w:val="0"/>
              </w:numPr>
              <w:kinsoku/>
              <w:wordWrap/>
              <w:overflowPunct/>
              <w:topLinePunct w:val="0"/>
              <w:bidi w:val="0"/>
              <w:spacing w:line="3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SA"/>
              </w:rPr>
              <w:t>3、运维</w:t>
            </w:r>
            <w:r>
              <w:rPr>
                <w:rFonts w:hint="eastAsia" w:ascii="宋体" w:hAnsi="宋体" w:eastAsia="宋体" w:cs="宋体"/>
                <w:color w:val="auto"/>
                <w:kern w:val="0"/>
                <w:sz w:val="24"/>
                <w:szCs w:val="24"/>
                <w:lang w:val="en-US" w:eastAsia="zh-CN"/>
              </w:rPr>
              <w:t>人员或后台支撑技术</w:t>
            </w:r>
            <w:r>
              <w:rPr>
                <w:rFonts w:hint="eastAsia" w:ascii="宋体" w:hAnsi="宋体" w:eastAsia="宋体" w:cs="宋体"/>
                <w:color w:val="auto"/>
                <w:kern w:val="0"/>
                <w:sz w:val="24"/>
                <w:szCs w:val="24"/>
              </w:rPr>
              <w:t>成员中具有计算机或电子信息类相关专业证书，每提供一人得</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分，最高得</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分。</w:t>
            </w:r>
            <w:r>
              <w:rPr>
                <w:rFonts w:hint="eastAsia" w:ascii="宋体" w:hAnsi="宋体" w:eastAsia="宋体" w:cs="宋体"/>
                <w:color w:val="auto"/>
                <w:sz w:val="24"/>
                <w:szCs w:val="24"/>
                <w:lang w:val="en-US" w:eastAsia="zh-CN"/>
              </w:rPr>
              <w:t>不提供不得分。</w:t>
            </w:r>
          </w:p>
        </w:tc>
      </w:tr>
      <w:tr w14:paraId="24A5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732" w:type="dxa"/>
            <w:noWrap w:val="0"/>
            <w:vAlign w:val="center"/>
          </w:tcPr>
          <w:p w14:paraId="3B5CF26D">
            <w:pPr>
              <w:pageBreakBefore w:val="0"/>
              <w:kinsoku/>
              <w:wordWrap/>
              <w:overflowPunct/>
              <w:topLinePunct w:val="0"/>
              <w:bidi w:val="0"/>
              <w:spacing w:line="360" w:lineRule="exact"/>
              <w:ind w:right="-19" w:rightChars="-9"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p w14:paraId="6121E741">
            <w:pPr>
              <w:pageBreakBefore w:val="0"/>
              <w:kinsoku/>
              <w:wordWrap/>
              <w:overflowPunct/>
              <w:topLinePunct w:val="0"/>
              <w:bidi w:val="0"/>
              <w:spacing w:line="360" w:lineRule="exact"/>
              <w:ind w:right="-19" w:rightChars="-9" w:firstLine="240" w:firstLineChars="100"/>
              <w:textAlignment w:val="auto"/>
              <w:rPr>
                <w:rFonts w:hint="eastAsia" w:ascii="宋体" w:hAnsi="宋体" w:eastAsia="宋体" w:cs="宋体"/>
                <w:color w:val="auto"/>
                <w:kern w:val="0"/>
                <w:sz w:val="24"/>
                <w:szCs w:val="24"/>
              </w:rPr>
            </w:pPr>
            <w:r>
              <w:rPr>
                <w:rFonts w:hint="eastAsia" w:ascii="宋体" w:hAnsi="宋体" w:eastAsia="宋体" w:cs="宋体"/>
                <w:color w:val="auto"/>
                <w:kern w:val="1"/>
                <w:sz w:val="24"/>
                <w:szCs w:val="24"/>
              </w:rPr>
              <w:t>（</w:t>
            </w:r>
            <w:r>
              <w:rPr>
                <w:rFonts w:hint="eastAsia" w:ascii="宋体" w:hAnsi="宋体" w:eastAsia="宋体" w:cs="宋体"/>
                <w:color w:val="auto"/>
                <w:kern w:val="1"/>
                <w:sz w:val="24"/>
                <w:szCs w:val="24"/>
                <w:lang w:val="en-US" w:eastAsia="zh-CN"/>
              </w:rPr>
              <w:t>15</w:t>
            </w:r>
            <w:r>
              <w:rPr>
                <w:rFonts w:hint="eastAsia" w:ascii="宋体" w:hAnsi="宋体" w:eastAsia="宋体" w:cs="宋体"/>
                <w:color w:val="auto"/>
                <w:kern w:val="1"/>
                <w:sz w:val="24"/>
                <w:szCs w:val="24"/>
              </w:rPr>
              <w:t>分）</w:t>
            </w:r>
          </w:p>
        </w:tc>
        <w:tc>
          <w:tcPr>
            <w:tcW w:w="8453" w:type="dxa"/>
            <w:noWrap w:val="0"/>
            <w:vAlign w:val="center"/>
          </w:tcPr>
          <w:p w14:paraId="26A45A13">
            <w:pPr>
              <w:pageBreakBefore w:val="0"/>
              <w:kinsoku/>
              <w:wordWrap/>
              <w:overflowPunct/>
              <w:topLinePunct w:val="0"/>
              <w:bidi w:val="0"/>
              <w:spacing w:line="360" w:lineRule="exact"/>
              <w:ind w:right="-19" w:rightChars="-9"/>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投标供应商所提供的</w:t>
            </w:r>
            <w:r>
              <w:rPr>
                <w:rFonts w:hint="eastAsia" w:ascii="宋体" w:hAnsi="宋体" w:eastAsia="宋体" w:cs="宋体"/>
                <w:color w:val="auto"/>
                <w:sz w:val="24"/>
                <w:szCs w:val="24"/>
                <w:lang w:val="en-US" w:eastAsia="zh-CN"/>
              </w:rPr>
              <w:t>技术方案及服务方案清晰、完整，</w:t>
            </w:r>
            <w:r>
              <w:rPr>
                <w:rFonts w:hint="eastAsia" w:ascii="宋体" w:hAnsi="宋体" w:eastAsia="宋体" w:cs="宋体"/>
                <w:color w:val="auto"/>
                <w:sz w:val="24"/>
                <w:szCs w:val="24"/>
              </w:rPr>
              <w:t>内容应包括但不限于项目组织架构、实施计划、培训计划</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服务流程、</w:t>
            </w:r>
            <w:r>
              <w:rPr>
                <w:rFonts w:hint="eastAsia" w:ascii="宋体" w:hAnsi="宋体" w:eastAsia="宋体" w:cs="宋体"/>
                <w:color w:val="auto"/>
                <w:sz w:val="24"/>
                <w:szCs w:val="24"/>
              </w:rPr>
              <w:t>售后服务等内容。评标委员会根据投标供应商方案完整程度及招标要求匹配程度综合考评，内容</w:t>
            </w:r>
            <w:r>
              <w:rPr>
                <w:rFonts w:hint="eastAsia" w:ascii="宋体" w:hAnsi="宋体" w:eastAsia="宋体" w:cs="宋体"/>
                <w:color w:val="auto"/>
                <w:sz w:val="24"/>
                <w:szCs w:val="24"/>
                <w:lang w:val="en-US" w:eastAsia="zh-CN"/>
              </w:rPr>
              <w:t>较</w:t>
            </w:r>
            <w:r>
              <w:rPr>
                <w:rFonts w:hint="eastAsia" w:ascii="宋体" w:hAnsi="宋体" w:eastAsia="宋体" w:cs="宋体"/>
                <w:color w:val="auto"/>
                <w:sz w:val="24"/>
                <w:szCs w:val="24"/>
              </w:rPr>
              <w:t>全面得</w:t>
            </w:r>
            <w:r>
              <w:rPr>
                <w:rFonts w:hint="eastAsia" w:ascii="宋体" w:hAnsi="宋体" w:eastAsia="宋体" w:cs="宋体"/>
                <w:color w:val="auto"/>
                <w:sz w:val="24"/>
                <w:szCs w:val="24"/>
                <w:lang w:val="en-US" w:eastAsia="zh-CN"/>
              </w:rPr>
              <w:t>1--10</w:t>
            </w:r>
            <w:r>
              <w:rPr>
                <w:rFonts w:hint="eastAsia" w:ascii="宋体" w:hAnsi="宋体" w:eastAsia="宋体" w:cs="宋体"/>
                <w:color w:val="auto"/>
                <w:sz w:val="24"/>
                <w:szCs w:val="24"/>
              </w:rPr>
              <w:t>分，内容</w:t>
            </w:r>
            <w:r>
              <w:rPr>
                <w:rFonts w:hint="eastAsia" w:ascii="宋体" w:hAnsi="宋体" w:eastAsia="宋体" w:cs="宋体"/>
                <w:color w:val="auto"/>
                <w:sz w:val="24"/>
                <w:szCs w:val="24"/>
                <w:lang w:val="en-US" w:eastAsia="zh-CN"/>
              </w:rPr>
              <w:t>非常</w:t>
            </w:r>
            <w:r>
              <w:rPr>
                <w:rFonts w:hint="eastAsia" w:ascii="宋体" w:hAnsi="宋体" w:eastAsia="宋体" w:cs="宋体"/>
                <w:color w:val="auto"/>
                <w:sz w:val="24"/>
                <w:szCs w:val="24"/>
              </w:rPr>
              <w:t>全面得</w:t>
            </w:r>
            <w:r>
              <w:rPr>
                <w:rFonts w:hint="eastAsia" w:ascii="宋体" w:hAnsi="宋体" w:eastAsia="宋体" w:cs="宋体"/>
                <w:color w:val="auto"/>
                <w:sz w:val="24"/>
                <w:szCs w:val="24"/>
                <w:lang w:val="en-US" w:eastAsia="zh-CN"/>
              </w:rPr>
              <w:t>11--15</w:t>
            </w:r>
            <w:r>
              <w:rPr>
                <w:rFonts w:hint="eastAsia" w:ascii="宋体" w:hAnsi="宋体" w:eastAsia="宋体" w:cs="宋体"/>
                <w:color w:val="auto"/>
                <w:sz w:val="24"/>
                <w:szCs w:val="24"/>
              </w:rPr>
              <w:t>分。</w:t>
            </w:r>
          </w:p>
        </w:tc>
      </w:tr>
    </w:tbl>
    <w:p w14:paraId="193DBFDD">
      <w:pPr>
        <w:pStyle w:val="6"/>
        <w:keepNext w:val="0"/>
        <w:keepLines w:val="0"/>
        <w:pageBreakBefore w:val="0"/>
        <w:kinsoku/>
        <w:wordWrap/>
        <w:overflowPunct/>
        <w:topLinePunct w:val="0"/>
        <w:autoSpaceDE w:val="0"/>
        <w:autoSpaceDN/>
        <w:bidi w:val="0"/>
        <w:adjustRightInd/>
        <w:snapToGrid/>
        <w:spacing w:after="0" w:line="3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以上由评委分别打分，评委累计评分的算术平均值(保留小数点后两位，第三位四舍五入)即为各项的得分。</w:t>
      </w:r>
    </w:p>
    <w:p w14:paraId="47CBAA48">
      <w:pPr>
        <w:pStyle w:val="6"/>
        <w:keepNext w:val="0"/>
        <w:keepLines w:val="0"/>
        <w:pageBreakBefore w:val="0"/>
        <w:kinsoku/>
        <w:wordWrap/>
        <w:overflowPunct/>
        <w:topLinePunct w:val="0"/>
        <w:autoSpaceDE w:val="0"/>
        <w:autoSpaceDN/>
        <w:bidi w:val="0"/>
        <w:adjustRightInd/>
        <w:snapToGrid/>
        <w:spacing w:after="0" w:line="36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本次招标文件中要求提供的相关证明材料，投标时提供证明材料的复印件或扫描件加盖供应商公章，公示结束后签订合同前投标时证明材料原件须一次性提供采购人核查，如不能按时提供或提供材料不齐全及提供不符合招标文件要求则按照虚假投标处理，成交供应商须如实提供对证明材料真实性负责，否则将取消中标资格；</w:t>
      </w:r>
    </w:p>
    <w:p w14:paraId="17AB1E81">
      <w:pPr>
        <w:pStyle w:val="8"/>
        <w:keepNext w:val="0"/>
        <w:keepLines w:val="0"/>
        <w:pageBreakBefore w:val="0"/>
        <w:widowControl/>
        <w:kinsoku/>
        <w:wordWrap/>
        <w:overflowPunct/>
        <w:topLinePunct w:val="0"/>
        <w:autoSpaceDN/>
        <w:bidi w:val="0"/>
        <w:adjustRightInd/>
        <w:snapToGrid/>
        <w:spacing w:line="360" w:lineRule="exact"/>
        <w:ind w:firstLine="480" w:firstLineChars="200"/>
        <w:textAlignment w:val="auto"/>
        <w:rPr>
          <w:rFonts w:hint="eastAsia" w:ascii="宋体" w:hAnsi="宋体" w:eastAsia="宋体" w:cs="宋体"/>
          <w:b w:val="0"/>
          <w:color w:val="auto"/>
          <w:sz w:val="24"/>
          <w:szCs w:val="24"/>
        </w:rPr>
      </w:pPr>
      <w:bookmarkStart w:id="469" w:name="_Toc18786"/>
      <w:r>
        <w:rPr>
          <w:rFonts w:hint="eastAsia" w:ascii="宋体" w:hAnsi="宋体" w:eastAsia="宋体" w:cs="宋体"/>
          <w:b w:val="0"/>
          <w:color w:val="auto"/>
          <w:sz w:val="24"/>
          <w:szCs w:val="24"/>
        </w:rPr>
        <w:t>计算上的算术错误。修正错误的原则如下:</w:t>
      </w:r>
      <w:bookmarkEnd w:id="318"/>
      <w:bookmarkEnd w:id="319"/>
      <w:bookmarkEnd w:id="320"/>
      <w:bookmarkEnd w:id="469"/>
    </w:p>
    <w:p w14:paraId="0068AD96">
      <w:pPr>
        <w:pStyle w:val="8"/>
        <w:keepNext w:val="0"/>
        <w:keepLines w:val="0"/>
        <w:pageBreakBefore w:val="0"/>
        <w:widowControl/>
        <w:kinsoku/>
        <w:wordWrap/>
        <w:overflowPunct/>
        <w:topLinePunct w:val="0"/>
        <w:autoSpaceDN/>
        <w:bidi w:val="0"/>
        <w:adjustRightInd/>
        <w:snapToGrid/>
        <w:spacing w:line="360" w:lineRule="exact"/>
        <w:ind w:firstLine="480" w:firstLineChars="200"/>
        <w:textAlignment w:val="auto"/>
        <w:rPr>
          <w:rFonts w:hint="eastAsia" w:ascii="宋体" w:hAnsi="宋体" w:eastAsia="宋体" w:cs="宋体"/>
          <w:b w:val="0"/>
          <w:color w:val="auto"/>
          <w:sz w:val="24"/>
          <w:szCs w:val="24"/>
        </w:rPr>
      </w:pPr>
      <w:bookmarkStart w:id="470" w:name="_Toc3253"/>
      <w:bookmarkStart w:id="471" w:name="_Toc28153"/>
      <w:bookmarkStart w:id="472" w:name="_Toc22397"/>
      <w:bookmarkStart w:id="473" w:name="_Toc28030"/>
      <w:r>
        <w:rPr>
          <w:rFonts w:hint="eastAsia" w:ascii="宋体" w:hAnsi="宋体" w:eastAsia="宋体" w:cs="宋体"/>
          <w:b w:val="0"/>
          <w:color w:val="auto"/>
          <w:sz w:val="24"/>
          <w:szCs w:val="24"/>
        </w:rPr>
        <w:t>(1)投标文件中开标一览表(报价表)内容与投标文件中明细表内容不一致的，以开标一览表(报价表)为准。</w:t>
      </w:r>
      <w:bookmarkEnd w:id="470"/>
      <w:bookmarkEnd w:id="471"/>
      <w:bookmarkEnd w:id="472"/>
      <w:bookmarkEnd w:id="473"/>
    </w:p>
    <w:p w14:paraId="64480D17">
      <w:pPr>
        <w:pStyle w:val="8"/>
        <w:keepNext w:val="0"/>
        <w:keepLines w:val="0"/>
        <w:pageBreakBefore w:val="0"/>
        <w:widowControl/>
        <w:kinsoku/>
        <w:wordWrap/>
        <w:overflowPunct/>
        <w:topLinePunct w:val="0"/>
        <w:autoSpaceDN/>
        <w:bidi w:val="0"/>
        <w:adjustRightInd/>
        <w:snapToGrid/>
        <w:spacing w:line="360" w:lineRule="exact"/>
        <w:ind w:firstLine="480" w:firstLineChars="200"/>
        <w:textAlignment w:val="auto"/>
        <w:rPr>
          <w:rFonts w:hint="eastAsia" w:ascii="宋体" w:hAnsi="宋体" w:eastAsia="宋体" w:cs="宋体"/>
          <w:b w:val="0"/>
          <w:color w:val="auto"/>
          <w:sz w:val="24"/>
          <w:szCs w:val="24"/>
        </w:rPr>
      </w:pPr>
      <w:bookmarkStart w:id="474" w:name="_Toc5382"/>
      <w:bookmarkStart w:id="475" w:name="_Toc11667"/>
      <w:bookmarkStart w:id="476" w:name="_Toc20338"/>
      <w:bookmarkStart w:id="477" w:name="_Toc3442"/>
      <w:r>
        <w:rPr>
          <w:rFonts w:hint="eastAsia" w:ascii="宋体" w:hAnsi="宋体" w:eastAsia="宋体" w:cs="宋体"/>
          <w:b w:val="0"/>
          <w:color w:val="auto"/>
          <w:sz w:val="24"/>
          <w:szCs w:val="24"/>
        </w:rPr>
        <w:t>(2)如果数字表示的金额和用文字表示的金额不一致时，以文字表示的金额为准;</w:t>
      </w:r>
      <w:bookmarkEnd w:id="474"/>
      <w:r>
        <w:rPr>
          <w:rFonts w:hint="eastAsia" w:ascii="宋体" w:hAnsi="宋体" w:eastAsia="宋体" w:cs="宋体"/>
          <w:b w:val="0"/>
          <w:color w:val="auto"/>
          <w:sz w:val="24"/>
          <w:szCs w:val="24"/>
        </w:rPr>
        <w:t xml:space="preserve"> </w:t>
      </w:r>
    </w:p>
    <w:p w14:paraId="0EC06CB3">
      <w:pPr>
        <w:pStyle w:val="8"/>
        <w:keepNext w:val="0"/>
        <w:keepLines w:val="0"/>
        <w:pageBreakBefore w:val="0"/>
        <w:widowControl/>
        <w:kinsoku/>
        <w:wordWrap/>
        <w:overflowPunct/>
        <w:topLinePunct w:val="0"/>
        <w:autoSpaceDN/>
        <w:bidi w:val="0"/>
        <w:adjustRightInd/>
        <w:snapToGrid/>
        <w:spacing w:line="360" w:lineRule="exact"/>
        <w:ind w:firstLine="480" w:firstLineChars="200"/>
        <w:textAlignment w:val="auto"/>
        <w:rPr>
          <w:rFonts w:hint="eastAsia" w:ascii="宋体" w:hAnsi="宋体" w:eastAsia="宋体" w:cs="宋体"/>
          <w:b w:val="0"/>
          <w:color w:val="auto"/>
          <w:sz w:val="24"/>
          <w:szCs w:val="24"/>
        </w:rPr>
      </w:pPr>
      <w:bookmarkStart w:id="478" w:name="_Toc12681"/>
      <w:r>
        <w:rPr>
          <w:rFonts w:hint="eastAsia" w:ascii="宋体" w:hAnsi="宋体" w:eastAsia="宋体" w:cs="宋体"/>
          <w:b w:val="0"/>
          <w:color w:val="auto"/>
          <w:sz w:val="24"/>
          <w:szCs w:val="24"/>
        </w:rPr>
        <w:t>(3)如果单价与数量的乘积和总价不一致，以单价为准。当小数点有明显的错误时，评标小组将以总价为准，并修正其单价。</w:t>
      </w:r>
      <w:bookmarkEnd w:id="478"/>
      <w:r>
        <w:rPr>
          <w:rFonts w:hint="eastAsia" w:ascii="宋体" w:hAnsi="宋体" w:eastAsia="宋体" w:cs="宋体"/>
          <w:b w:val="0"/>
          <w:color w:val="auto"/>
          <w:sz w:val="24"/>
          <w:szCs w:val="24"/>
        </w:rPr>
        <w:t xml:space="preserve"> </w:t>
      </w:r>
    </w:p>
    <w:p w14:paraId="643DB658">
      <w:pPr>
        <w:pStyle w:val="8"/>
        <w:keepNext w:val="0"/>
        <w:keepLines w:val="0"/>
        <w:pageBreakBefore w:val="0"/>
        <w:widowControl/>
        <w:kinsoku/>
        <w:wordWrap/>
        <w:overflowPunct/>
        <w:topLinePunct w:val="0"/>
        <w:autoSpaceDN/>
        <w:bidi w:val="0"/>
        <w:adjustRightInd/>
        <w:snapToGrid/>
        <w:spacing w:line="360" w:lineRule="exact"/>
        <w:ind w:firstLine="480" w:firstLineChars="200"/>
        <w:textAlignment w:val="auto"/>
        <w:rPr>
          <w:rFonts w:hint="eastAsia" w:ascii="宋体" w:hAnsi="宋体" w:eastAsia="宋体" w:cs="宋体"/>
          <w:b w:val="0"/>
          <w:color w:val="auto"/>
          <w:sz w:val="24"/>
          <w:szCs w:val="24"/>
        </w:rPr>
      </w:pPr>
      <w:bookmarkStart w:id="479" w:name="_Toc30359"/>
      <w:r>
        <w:rPr>
          <w:rFonts w:hint="eastAsia" w:ascii="宋体" w:hAnsi="宋体" w:eastAsia="宋体" w:cs="宋体"/>
          <w:b w:val="0"/>
          <w:color w:val="auto"/>
          <w:sz w:val="24"/>
          <w:szCs w:val="24"/>
        </w:rPr>
        <w:t>(4)评标小组将允许投标供应商修改其投标中不构成重大偏离的微小的、非正规的、不一致的或不规则的地方，但这些修改不能影响任何投标供应商的名次相应排列。 报价关键漏（缺）项处理：</w:t>
      </w:r>
      <w:bookmarkEnd w:id="475"/>
      <w:bookmarkEnd w:id="476"/>
      <w:bookmarkEnd w:id="477"/>
      <w:bookmarkEnd w:id="479"/>
    </w:p>
    <w:p w14:paraId="2331B3B2">
      <w:pPr>
        <w:pStyle w:val="8"/>
        <w:keepNext w:val="0"/>
        <w:keepLines w:val="0"/>
        <w:pageBreakBefore w:val="0"/>
        <w:widowControl/>
        <w:kinsoku/>
        <w:wordWrap/>
        <w:overflowPunct/>
        <w:topLinePunct w:val="0"/>
        <w:autoSpaceDN/>
        <w:bidi w:val="0"/>
        <w:adjustRightInd/>
        <w:snapToGrid/>
        <w:spacing w:line="360" w:lineRule="exact"/>
        <w:ind w:firstLine="480" w:firstLineChars="200"/>
        <w:textAlignment w:val="auto"/>
        <w:rPr>
          <w:rFonts w:hint="eastAsia" w:ascii="宋体" w:hAnsi="宋体" w:eastAsia="宋体" w:cs="宋体"/>
          <w:b w:val="0"/>
          <w:color w:val="auto"/>
          <w:sz w:val="24"/>
          <w:szCs w:val="24"/>
        </w:rPr>
      </w:pPr>
      <w:bookmarkStart w:id="480" w:name="_Toc21003"/>
      <w:bookmarkStart w:id="481" w:name="_Toc8588"/>
      <w:bookmarkStart w:id="482" w:name="_Toc29992"/>
      <w:bookmarkStart w:id="483" w:name="_Toc18907"/>
      <w:r>
        <w:rPr>
          <w:rFonts w:hint="eastAsia" w:ascii="宋体" w:hAnsi="宋体" w:eastAsia="宋体" w:cs="宋体"/>
          <w:b w:val="0"/>
          <w:color w:val="auto"/>
          <w:sz w:val="24"/>
          <w:szCs w:val="24"/>
        </w:rPr>
        <w:t>评标小组对合格的投标供应商的投标报价进行详细分析、核查，检查其是否存在关键漏（缺） 报项，若存在关键漏（缺）报项，在评审时取其他有效投标供应商的该项有效报价中的最高报价加 入评审价进行评审，对多报项及赠送项的价格评审时不予核减报价进行评审。评标小组按照竞争性 磋商文件规定对投标供应商报价进行调整修正，调整后的价格对投标供应商具有约束力。如果投标 供应商不接受修正后的报价，则其报价将被拒绝，其投标响应文件为无效投标响应文件。</w:t>
      </w:r>
      <w:bookmarkEnd w:id="480"/>
      <w:bookmarkEnd w:id="481"/>
      <w:bookmarkEnd w:id="482"/>
      <w:bookmarkEnd w:id="483"/>
    </w:p>
    <w:p w14:paraId="72439FAC">
      <w:pPr>
        <w:pStyle w:val="8"/>
        <w:keepNext w:val="0"/>
        <w:keepLines w:val="0"/>
        <w:pageBreakBefore w:val="0"/>
        <w:widowControl/>
        <w:kinsoku/>
        <w:wordWrap/>
        <w:overflowPunct/>
        <w:topLinePunct w:val="0"/>
        <w:autoSpaceDN/>
        <w:bidi w:val="0"/>
        <w:adjustRightInd/>
        <w:snapToGrid/>
        <w:spacing w:line="360" w:lineRule="exact"/>
        <w:jc w:val="center"/>
        <w:textAlignment w:val="auto"/>
        <w:rPr>
          <w:rFonts w:hint="eastAsia" w:ascii="宋体" w:hAnsi="宋体" w:eastAsia="宋体" w:cs="宋体"/>
          <w:bCs/>
          <w:color w:val="auto"/>
          <w:sz w:val="24"/>
          <w:szCs w:val="24"/>
        </w:rPr>
      </w:pPr>
      <w:bookmarkStart w:id="484" w:name="_Toc23690"/>
      <w:bookmarkStart w:id="485" w:name="_Toc21051"/>
      <w:bookmarkStart w:id="486" w:name="_Toc21251"/>
      <w:bookmarkStart w:id="487" w:name="_Toc18390"/>
      <w:r>
        <w:rPr>
          <w:rFonts w:hint="eastAsia" w:ascii="宋体" w:hAnsi="宋体" w:eastAsia="宋体" w:cs="宋体"/>
          <w:bCs/>
          <w:color w:val="auto"/>
          <w:sz w:val="24"/>
          <w:szCs w:val="24"/>
        </w:rPr>
        <w:t>四、评审结果</w:t>
      </w:r>
      <w:bookmarkEnd w:id="484"/>
      <w:bookmarkEnd w:id="485"/>
      <w:bookmarkEnd w:id="486"/>
      <w:bookmarkEnd w:id="487"/>
    </w:p>
    <w:p w14:paraId="78BAFC9C">
      <w:pPr>
        <w:pStyle w:val="8"/>
        <w:keepNext w:val="0"/>
        <w:keepLines w:val="0"/>
        <w:pageBreakBefore w:val="0"/>
        <w:widowControl/>
        <w:kinsoku/>
        <w:wordWrap/>
        <w:overflowPunct/>
        <w:topLinePunct w:val="0"/>
        <w:autoSpaceDN/>
        <w:bidi w:val="0"/>
        <w:adjustRightInd/>
        <w:snapToGrid/>
        <w:spacing w:line="360" w:lineRule="exact"/>
        <w:ind w:firstLine="480" w:firstLineChars="200"/>
        <w:textAlignment w:val="auto"/>
        <w:rPr>
          <w:rFonts w:hint="eastAsia" w:ascii="宋体" w:hAnsi="宋体" w:eastAsia="宋体" w:cs="宋体"/>
          <w:b w:val="0"/>
          <w:color w:val="auto"/>
          <w:sz w:val="24"/>
          <w:szCs w:val="24"/>
        </w:rPr>
      </w:pPr>
      <w:bookmarkStart w:id="488" w:name="_Toc7380"/>
      <w:bookmarkStart w:id="489" w:name="_Toc13892"/>
      <w:bookmarkStart w:id="490" w:name="_Toc26171"/>
      <w:bookmarkStart w:id="491" w:name="_Toc29395"/>
      <w:r>
        <w:rPr>
          <w:rFonts w:hint="eastAsia" w:ascii="宋体" w:hAnsi="宋体" w:eastAsia="宋体" w:cs="宋体"/>
          <w:b w:val="0"/>
          <w:color w:val="auto"/>
          <w:sz w:val="24"/>
          <w:szCs w:val="24"/>
        </w:rPr>
        <w:t>中标候选人的确定</w:t>
      </w:r>
      <w:bookmarkEnd w:id="488"/>
      <w:bookmarkEnd w:id="489"/>
      <w:bookmarkEnd w:id="490"/>
      <w:bookmarkEnd w:id="491"/>
      <w:r>
        <w:rPr>
          <w:rFonts w:hint="eastAsia" w:ascii="宋体" w:hAnsi="宋体" w:eastAsia="宋体" w:cs="宋体"/>
          <w:b w:val="0"/>
          <w:color w:val="auto"/>
          <w:sz w:val="24"/>
          <w:szCs w:val="24"/>
        </w:rPr>
        <w:t xml:space="preserve"> </w:t>
      </w:r>
    </w:p>
    <w:p w14:paraId="692F3E86">
      <w:pPr>
        <w:pStyle w:val="8"/>
        <w:keepNext w:val="0"/>
        <w:keepLines w:val="0"/>
        <w:pageBreakBefore w:val="0"/>
        <w:widowControl/>
        <w:kinsoku/>
        <w:wordWrap/>
        <w:overflowPunct/>
        <w:topLinePunct w:val="0"/>
        <w:autoSpaceDN/>
        <w:bidi w:val="0"/>
        <w:adjustRightInd/>
        <w:snapToGrid/>
        <w:spacing w:line="360" w:lineRule="exact"/>
        <w:ind w:firstLine="480" w:firstLineChars="200"/>
        <w:textAlignment w:val="auto"/>
        <w:rPr>
          <w:rFonts w:hint="eastAsia" w:ascii="宋体" w:hAnsi="宋体" w:eastAsia="宋体" w:cs="宋体"/>
          <w:b w:val="0"/>
          <w:color w:val="auto"/>
          <w:sz w:val="24"/>
          <w:szCs w:val="24"/>
        </w:rPr>
      </w:pPr>
      <w:bookmarkStart w:id="492" w:name="_Toc23631"/>
      <w:bookmarkStart w:id="493" w:name="_Toc31324"/>
      <w:bookmarkStart w:id="494" w:name="_Toc24930"/>
      <w:bookmarkStart w:id="495" w:name="_Toc18335"/>
      <w:r>
        <w:rPr>
          <w:rFonts w:hint="eastAsia" w:ascii="宋体" w:hAnsi="宋体" w:eastAsia="宋体" w:cs="宋体"/>
          <w:b w:val="0"/>
          <w:color w:val="auto"/>
          <w:sz w:val="24"/>
          <w:szCs w:val="24"/>
        </w:rPr>
        <w:t>1、供应商实际得分为技术标评审和商务标评审两项得分之和。</w:t>
      </w:r>
      <w:bookmarkEnd w:id="492"/>
      <w:bookmarkEnd w:id="493"/>
      <w:bookmarkEnd w:id="494"/>
      <w:bookmarkEnd w:id="495"/>
    </w:p>
    <w:p w14:paraId="01C710DA">
      <w:pPr>
        <w:pStyle w:val="8"/>
        <w:keepNext w:val="0"/>
        <w:keepLines w:val="0"/>
        <w:pageBreakBefore w:val="0"/>
        <w:widowControl/>
        <w:kinsoku/>
        <w:wordWrap/>
        <w:overflowPunct/>
        <w:topLinePunct w:val="0"/>
        <w:autoSpaceDN/>
        <w:bidi w:val="0"/>
        <w:adjustRightInd/>
        <w:snapToGrid/>
        <w:spacing w:line="360" w:lineRule="exact"/>
        <w:ind w:firstLine="480" w:firstLineChars="200"/>
        <w:textAlignment w:val="auto"/>
        <w:rPr>
          <w:rFonts w:hint="eastAsia" w:ascii="宋体" w:hAnsi="宋体" w:eastAsia="宋体" w:cs="宋体"/>
          <w:b w:val="0"/>
          <w:color w:val="auto"/>
          <w:sz w:val="24"/>
          <w:szCs w:val="24"/>
        </w:rPr>
      </w:pPr>
      <w:bookmarkStart w:id="496" w:name="_Toc15231"/>
      <w:bookmarkStart w:id="497" w:name="_Toc27877"/>
      <w:bookmarkStart w:id="498" w:name="_Toc3003"/>
      <w:bookmarkStart w:id="499" w:name="_Toc31833"/>
      <w:r>
        <w:rPr>
          <w:rFonts w:hint="eastAsia" w:ascii="宋体" w:hAnsi="宋体" w:eastAsia="宋体" w:cs="宋体"/>
          <w:b w:val="0"/>
          <w:color w:val="auto"/>
          <w:sz w:val="24"/>
          <w:szCs w:val="24"/>
        </w:rPr>
        <w:t>2、技术标评审由全体评标委员会成员综合评议并独立打分，取所有评委打分的平均分作为供应商技术标的得分；商务标评审由全体评标委员会成员统计，全体评标委员会成员签字确认。</w:t>
      </w:r>
      <w:bookmarkEnd w:id="496"/>
      <w:bookmarkEnd w:id="497"/>
      <w:bookmarkEnd w:id="498"/>
      <w:bookmarkEnd w:id="499"/>
    </w:p>
    <w:p w14:paraId="0B5DF25B">
      <w:pPr>
        <w:pStyle w:val="8"/>
        <w:keepNext w:val="0"/>
        <w:keepLines w:val="0"/>
        <w:pageBreakBefore w:val="0"/>
        <w:widowControl/>
        <w:kinsoku/>
        <w:wordWrap/>
        <w:overflowPunct/>
        <w:topLinePunct w:val="0"/>
        <w:autoSpaceDN/>
        <w:bidi w:val="0"/>
        <w:adjustRightInd/>
        <w:snapToGrid/>
        <w:spacing w:line="360" w:lineRule="exact"/>
        <w:ind w:firstLine="480" w:firstLineChars="200"/>
        <w:textAlignment w:val="auto"/>
        <w:rPr>
          <w:rFonts w:hint="eastAsia" w:ascii="宋体" w:hAnsi="宋体" w:eastAsia="宋体" w:cs="宋体"/>
          <w:b w:val="0"/>
          <w:color w:val="auto"/>
          <w:sz w:val="24"/>
          <w:szCs w:val="24"/>
        </w:rPr>
      </w:pPr>
      <w:bookmarkStart w:id="500" w:name="_Toc30767"/>
      <w:bookmarkStart w:id="501" w:name="_Toc17030"/>
      <w:bookmarkStart w:id="502" w:name="_Toc2766"/>
      <w:bookmarkStart w:id="503" w:name="_Toc56"/>
      <w:r>
        <w:rPr>
          <w:rFonts w:hint="eastAsia" w:ascii="宋体" w:hAnsi="宋体" w:eastAsia="宋体" w:cs="宋体"/>
          <w:b w:val="0"/>
          <w:color w:val="auto"/>
          <w:sz w:val="24"/>
          <w:szCs w:val="24"/>
        </w:rPr>
        <w:t>3、供应商最终得分为技术标与商务标之和。（供应商技术标得分、商务标得分及最终得分均取小数点后两位，第三位小数四舍五入）。</w:t>
      </w:r>
      <w:bookmarkEnd w:id="500"/>
      <w:bookmarkEnd w:id="501"/>
      <w:bookmarkEnd w:id="502"/>
      <w:bookmarkEnd w:id="503"/>
      <w:bookmarkStart w:id="504" w:name="_Toc29597"/>
      <w:bookmarkStart w:id="505" w:name="_Toc22254"/>
      <w:bookmarkStart w:id="506" w:name="_Toc3610"/>
    </w:p>
    <w:p w14:paraId="2D86138A">
      <w:pPr>
        <w:pStyle w:val="8"/>
        <w:keepNext w:val="0"/>
        <w:keepLines w:val="0"/>
        <w:pageBreakBefore w:val="0"/>
        <w:widowControl/>
        <w:kinsoku/>
        <w:wordWrap/>
        <w:overflowPunct/>
        <w:topLinePunct w:val="0"/>
        <w:autoSpaceDN/>
        <w:bidi w:val="0"/>
        <w:adjustRightInd/>
        <w:snapToGrid/>
        <w:spacing w:line="360" w:lineRule="exact"/>
        <w:ind w:firstLine="480" w:firstLineChars="200"/>
        <w:textAlignment w:val="auto"/>
        <w:rPr>
          <w:rFonts w:hint="eastAsia" w:ascii="宋体" w:hAnsi="宋体" w:eastAsia="宋体" w:cs="宋体"/>
          <w:b w:val="0"/>
          <w:color w:val="auto"/>
          <w:sz w:val="24"/>
          <w:szCs w:val="24"/>
        </w:rPr>
      </w:pPr>
      <w:bookmarkStart w:id="507" w:name="_Toc14634"/>
      <w:r>
        <w:rPr>
          <w:rFonts w:hint="eastAsia" w:ascii="宋体" w:hAnsi="宋体" w:eastAsia="宋体" w:cs="宋体"/>
          <w:b w:val="0"/>
          <w:color w:val="auto"/>
          <w:sz w:val="24"/>
          <w:szCs w:val="24"/>
        </w:rPr>
        <w:t>4、评标委员会通过综合打分，评定出供应商排名顺序（从高分到低分），按照供应商排名顺序，推荐排名第一的供应商作为中标候选人。 不得将评标情况透露给与供应商有关的单位和个人。如有违反评标纪律的情况发生，将依据《中华人民共和国政府采购法》及其他有关法律法规的规定，追究有关当事人的责任。</w:t>
      </w:r>
      <w:bookmarkEnd w:id="504"/>
      <w:bookmarkEnd w:id="505"/>
      <w:bookmarkEnd w:id="506"/>
      <w:bookmarkEnd w:id="507"/>
    </w:p>
    <w:p w14:paraId="7E04A62F">
      <w:pPr>
        <w:pStyle w:val="8"/>
        <w:keepNext w:val="0"/>
        <w:keepLines w:val="0"/>
        <w:pageBreakBefore w:val="0"/>
        <w:widowControl/>
        <w:kinsoku/>
        <w:wordWrap/>
        <w:overflowPunct/>
        <w:topLinePunct w:val="0"/>
        <w:autoSpaceDN/>
        <w:bidi w:val="0"/>
        <w:adjustRightInd/>
        <w:snapToGrid/>
        <w:spacing w:line="360" w:lineRule="exact"/>
        <w:ind w:firstLine="480" w:firstLineChars="200"/>
        <w:textAlignment w:val="auto"/>
        <w:rPr>
          <w:rFonts w:hint="eastAsia" w:ascii="宋体" w:hAnsi="宋体" w:eastAsia="宋体" w:cs="宋体"/>
          <w:b w:val="0"/>
          <w:color w:val="auto"/>
          <w:sz w:val="24"/>
          <w:szCs w:val="24"/>
        </w:rPr>
      </w:pPr>
      <w:bookmarkStart w:id="508" w:name="_Toc27685"/>
      <w:bookmarkStart w:id="509" w:name="_Toc26409"/>
      <w:bookmarkStart w:id="510" w:name="_Toc11738"/>
      <w:bookmarkStart w:id="511" w:name="_Toc150"/>
      <w:r>
        <w:rPr>
          <w:rFonts w:hint="eastAsia" w:ascii="宋体" w:hAnsi="宋体" w:eastAsia="宋体" w:cs="宋体"/>
          <w:b w:val="0"/>
          <w:color w:val="auto"/>
          <w:sz w:val="24"/>
          <w:szCs w:val="24"/>
        </w:rPr>
        <w:t>本评标办法的解释权属于采购人。</w:t>
      </w:r>
      <w:bookmarkEnd w:id="508"/>
      <w:bookmarkEnd w:id="509"/>
      <w:bookmarkEnd w:id="510"/>
      <w:bookmarkEnd w:id="511"/>
    </w:p>
    <w:p w14:paraId="344656B1">
      <w:pPr>
        <w:pageBreakBefore w:val="0"/>
        <w:kinsoku/>
        <w:wordWrap/>
        <w:overflowPunct/>
        <w:topLinePunct w:val="0"/>
        <w:bidi w:val="0"/>
        <w:spacing w:line="360" w:lineRule="exact"/>
        <w:textAlignment w:val="auto"/>
        <w:rPr>
          <w:rFonts w:hint="eastAsia" w:ascii="宋体" w:hAnsi="宋体" w:eastAsia="宋体" w:cs="宋体"/>
          <w:color w:val="auto"/>
          <w:sz w:val="24"/>
          <w:szCs w:val="24"/>
          <w:lang w:bidi="ar"/>
        </w:rPr>
        <w:sectPr>
          <w:pgSz w:w="11910" w:h="16850"/>
          <w:pgMar w:top="1083" w:right="730" w:bottom="1140" w:left="880" w:header="1" w:footer="680" w:gutter="0"/>
          <w:cols w:space="0" w:num="1"/>
          <w:docGrid w:type="lines" w:linePitch="312" w:charSpace="0"/>
        </w:sectPr>
      </w:pPr>
    </w:p>
    <w:p w14:paraId="2D08E264">
      <w:pPr>
        <w:pStyle w:val="8"/>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color w:val="auto"/>
          <w:sz w:val="28"/>
          <w:szCs w:val="28"/>
        </w:rPr>
      </w:pPr>
      <w:bookmarkStart w:id="512" w:name="第五章_投标人须知"/>
      <w:bookmarkEnd w:id="512"/>
      <w:bookmarkStart w:id="513" w:name="_bookmark4"/>
      <w:bookmarkEnd w:id="513"/>
      <w:bookmarkStart w:id="514" w:name="_Toc31453"/>
      <w:bookmarkStart w:id="515" w:name="_Toc21436"/>
      <w:r>
        <w:rPr>
          <w:rFonts w:asciiTheme="majorEastAsia" w:hAnsiTheme="majorEastAsia" w:eastAsiaTheme="majorEastAsia" w:cstheme="majorEastAsia"/>
          <w:color w:val="auto"/>
          <w:sz w:val="28"/>
          <w:szCs w:val="28"/>
        </w:rPr>
        <w:t>第五章 供应商须知</w:t>
      </w:r>
      <w:bookmarkEnd w:id="514"/>
      <w:bookmarkEnd w:id="515"/>
    </w:p>
    <w:p w14:paraId="7FD37A39">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eastAsia="宋体" w:cs="宋体"/>
          <w:color w:val="auto"/>
          <w:sz w:val="24"/>
          <w:szCs w:val="24"/>
        </w:rPr>
      </w:pPr>
      <w:bookmarkStart w:id="516" w:name="一．总____则"/>
      <w:bookmarkEnd w:id="516"/>
      <w:bookmarkStart w:id="517" w:name="_Toc6885"/>
      <w:bookmarkStart w:id="518" w:name="_Toc21355"/>
      <w:bookmarkStart w:id="519" w:name="_Toc23293"/>
      <w:bookmarkStart w:id="520" w:name="_Toc30793"/>
      <w:bookmarkStart w:id="521" w:name="_Toc10248"/>
      <w:bookmarkStart w:id="522" w:name="_Toc32310"/>
      <w:bookmarkStart w:id="523" w:name="_Toc12585"/>
      <w:bookmarkStart w:id="524" w:name="_Toc25000"/>
      <w:bookmarkStart w:id="525" w:name="_Toc2999"/>
      <w:r>
        <w:rPr>
          <w:rFonts w:ascii="宋体" w:eastAsia="宋体" w:cs="宋体"/>
          <w:color w:val="auto"/>
          <w:sz w:val="24"/>
          <w:szCs w:val="24"/>
        </w:rPr>
        <w:t>一．总</w:t>
      </w:r>
      <w:r>
        <w:rPr>
          <w:rFonts w:ascii="宋体" w:eastAsia="宋体" w:cs="宋体"/>
          <w:color w:val="auto"/>
          <w:sz w:val="24"/>
          <w:szCs w:val="24"/>
        </w:rPr>
        <w:tab/>
      </w:r>
      <w:r>
        <w:rPr>
          <w:rFonts w:ascii="宋体" w:eastAsia="宋体" w:cs="宋体"/>
          <w:color w:val="auto"/>
          <w:sz w:val="24"/>
          <w:szCs w:val="24"/>
        </w:rPr>
        <w:t>则</w:t>
      </w:r>
      <w:bookmarkEnd w:id="517"/>
      <w:bookmarkEnd w:id="518"/>
      <w:bookmarkEnd w:id="519"/>
      <w:bookmarkEnd w:id="520"/>
      <w:bookmarkEnd w:id="521"/>
      <w:bookmarkEnd w:id="522"/>
    </w:p>
    <w:p w14:paraId="588CD724">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526" w:name="_Toc31395"/>
      <w:bookmarkStart w:id="527" w:name="_Toc2653"/>
      <w:bookmarkStart w:id="528" w:name="_Toc21466"/>
      <w:bookmarkStart w:id="529" w:name="_Toc7124"/>
      <w:bookmarkStart w:id="530" w:name="_Toc11310"/>
      <w:bookmarkStart w:id="531" w:name="_Toc13052"/>
      <w:r>
        <w:rPr>
          <w:rFonts w:ascii="宋体" w:eastAsia="宋体" w:cs="宋体"/>
          <w:b w:val="0"/>
          <w:color w:val="auto"/>
          <w:sz w:val="24"/>
          <w:szCs w:val="24"/>
        </w:rPr>
        <w:t>1.适用范围</w:t>
      </w:r>
      <w:bookmarkEnd w:id="526"/>
      <w:bookmarkEnd w:id="527"/>
      <w:bookmarkEnd w:id="528"/>
      <w:bookmarkEnd w:id="529"/>
      <w:bookmarkEnd w:id="530"/>
      <w:bookmarkEnd w:id="531"/>
    </w:p>
    <w:p w14:paraId="6E820A88">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532" w:name="_Toc19093"/>
      <w:bookmarkStart w:id="533" w:name="_Toc30930"/>
      <w:bookmarkStart w:id="534" w:name="_Toc9347"/>
      <w:bookmarkStart w:id="535" w:name="_Toc18566"/>
      <w:bookmarkStart w:id="536" w:name="_Toc26789"/>
      <w:bookmarkStart w:id="537" w:name="_Toc22287"/>
      <w:r>
        <w:rPr>
          <w:rFonts w:ascii="宋体" w:eastAsia="宋体" w:cs="宋体"/>
          <w:b w:val="0"/>
          <w:color w:val="auto"/>
          <w:sz w:val="24"/>
          <w:szCs w:val="24"/>
        </w:rPr>
        <w:t>1.1 本磋商文件仅适用于本次竞争性磋商所述的服务项目采购。</w:t>
      </w:r>
      <w:bookmarkEnd w:id="532"/>
      <w:bookmarkEnd w:id="533"/>
      <w:bookmarkEnd w:id="534"/>
      <w:bookmarkEnd w:id="535"/>
      <w:bookmarkEnd w:id="536"/>
      <w:bookmarkEnd w:id="537"/>
    </w:p>
    <w:p w14:paraId="619FDD92">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538" w:name="_Toc18434"/>
      <w:bookmarkStart w:id="539" w:name="_Toc21998"/>
      <w:bookmarkStart w:id="540" w:name="_Toc26667"/>
      <w:bookmarkStart w:id="541" w:name="_Toc18636"/>
      <w:bookmarkStart w:id="542" w:name="_Toc8552"/>
      <w:bookmarkStart w:id="543" w:name="_Toc24989"/>
      <w:r>
        <w:rPr>
          <w:rFonts w:ascii="宋体" w:eastAsia="宋体" w:cs="宋体"/>
          <w:b w:val="0"/>
          <w:color w:val="auto"/>
          <w:sz w:val="24"/>
          <w:szCs w:val="24"/>
        </w:rPr>
        <w:t>2.有关定义</w:t>
      </w:r>
      <w:bookmarkEnd w:id="538"/>
      <w:bookmarkEnd w:id="539"/>
      <w:bookmarkEnd w:id="540"/>
      <w:bookmarkEnd w:id="541"/>
      <w:bookmarkEnd w:id="542"/>
      <w:bookmarkEnd w:id="543"/>
    </w:p>
    <w:p w14:paraId="707D6EC7">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544" w:name="_Toc15612"/>
      <w:bookmarkStart w:id="545" w:name="_Toc28635"/>
      <w:bookmarkStart w:id="546" w:name="_Toc26265"/>
      <w:bookmarkStart w:id="547" w:name="_Toc3112"/>
      <w:bookmarkStart w:id="548" w:name="_Toc24659"/>
      <w:bookmarkStart w:id="549" w:name="_Toc6412"/>
      <w:r>
        <w:rPr>
          <w:rFonts w:ascii="宋体" w:eastAsia="宋体" w:cs="宋体"/>
          <w:b w:val="0"/>
          <w:color w:val="auto"/>
          <w:sz w:val="24"/>
          <w:szCs w:val="24"/>
        </w:rPr>
        <w:t>2.1 政府采购监督管理部门：系指淮南市公共资源交易监督管理局。</w:t>
      </w:r>
      <w:bookmarkEnd w:id="544"/>
      <w:bookmarkEnd w:id="545"/>
      <w:bookmarkEnd w:id="546"/>
      <w:bookmarkEnd w:id="547"/>
      <w:bookmarkEnd w:id="548"/>
      <w:bookmarkEnd w:id="549"/>
    </w:p>
    <w:p w14:paraId="1C0DDFB8">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550" w:name="_Toc29903"/>
      <w:bookmarkStart w:id="551" w:name="_Toc12615"/>
      <w:bookmarkStart w:id="552" w:name="_Toc23912"/>
      <w:bookmarkStart w:id="553" w:name="_Toc2362"/>
      <w:bookmarkStart w:id="554" w:name="_Toc24833"/>
      <w:bookmarkStart w:id="555" w:name="_Toc24520"/>
      <w:r>
        <w:rPr>
          <w:rFonts w:ascii="宋体" w:eastAsia="宋体" w:cs="宋体"/>
          <w:b w:val="0"/>
          <w:color w:val="auto"/>
          <w:sz w:val="24"/>
          <w:szCs w:val="24"/>
        </w:rPr>
        <w:t>2.2 采购人：系指本次采购项目的业主方。</w:t>
      </w:r>
      <w:bookmarkEnd w:id="550"/>
      <w:bookmarkEnd w:id="551"/>
      <w:bookmarkEnd w:id="552"/>
      <w:bookmarkEnd w:id="553"/>
      <w:bookmarkEnd w:id="554"/>
      <w:bookmarkEnd w:id="555"/>
    </w:p>
    <w:p w14:paraId="5CE9A222">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556" w:name="_Toc21782"/>
      <w:bookmarkStart w:id="557" w:name="_Toc6418"/>
      <w:bookmarkStart w:id="558" w:name="_Toc23294"/>
      <w:bookmarkStart w:id="559" w:name="_Toc31957"/>
      <w:bookmarkStart w:id="560" w:name="_Toc359"/>
      <w:bookmarkStart w:id="561" w:name="_Toc24282"/>
      <w:r>
        <w:rPr>
          <w:rFonts w:ascii="宋体" w:eastAsia="宋体" w:cs="宋体"/>
          <w:b w:val="0"/>
          <w:color w:val="auto"/>
          <w:sz w:val="24"/>
          <w:szCs w:val="24"/>
        </w:rPr>
        <w:t>2.3 委托人：系指本次采购项目的委托方。</w:t>
      </w:r>
      <w:bookmarkEnd w:id="556"/>
      <w:bookmarkEnd w:id="557"/>
      <w:bookmarkEnd w:id="558"/>
      <w:bookmarkEnd w:id="559"/>
      <w:bookmarkEnd w:id="560"/>
      <w:bookmarkEnd w:id="561"/>
    </w:p>
    <w:p w14:paraId="6BCF0F22">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562" w:name="_Toc4340"/>
      <w:bookmarkStart w:id="563" w:name="_Toc11757"/>
      <w:bookmarkStart w:id="564" w:name="_Toc632"/>
      <w:bookmarkStart w:id="565" w:name="_Toc28332"/>
      <w:bookmarkStart w:id="566" w:name="_Toc9751"/>
      <w:bookmarkStart w:id="567" w:name="_Toc10436"/>
      <w:r>
        <w:rPr>
          <w:rFonts w:ascii="宋体" w:eastAsia="宋体" w:cs="宋体"/>
          <w:b w:val="0"/>
          <w:color w:val="auto"/>
          <w:sz w:val="24"/>
          <w:szCs w:val="24"/>
        </w:rPr>
        <w:t>2.4 投标人：系指购买了本磋商文件，且已经提交或准备提交本次投标文件的制造商、供应商或服务商。</w:t>
      </w:r>
      <w:bookmarkEnd w:id="562"/>
      <w:bookmarkEnd w:id="563"/>
      <w:bookmarkEnd w:id="564"/>
      <w:bookmarkEnd w:id="565"/>
      <w:bookmarkEnd w:id="566"/>
      <w:bookmarkEnd w:id="567"/>
    </w:p>
    <w:p w14:paraId="25134D3E">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568" w:name="_Toc18450"/>
      <w:bookmarkStart w:id="569" w:name="_Toc31933"/>
      <w:bookmarkStart w:id="570" w:name="_Toc31631"/>
      <w:bookmarkStart w:id="571" w:name="_Toc15098"/>
      <w:bookmarkStart w:id="572" w:name="_Toc12695"/>
      <w:bookmarkStart w:id="573" w:name="_Toc31519"/>
      <w:r>
        <w:rPr>
          <w:rFonts w:ascii="宋体" w:eastAsia="宋体" w:cs="宋体"/>
          <w:b w:val="0"/>
          <w:color w:val="auto"/>
          <w:sz w:val="24"/>
          <w:szCs w:val="24"/>
        </w:rPr>
        <w:t>2.5 “服务”系指中标人按磋商文件规定向采购人提供服务。</w:t>
      </w:r>
      <w:bookmarkEnd w:id="568"/>
      <w:bookmarkEnd w:id="569"/>
      <w:bookmarkEnd w:id="570"/>
      <w:bookmarkEnd w:id="571"/>
      <w:bookmarkEnd w:id="572"/>
      <w:bookmarkEnd w:id="573"/>
    </w:p>
    <w:p w14:paraId="2CFE4719">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574" w:name="_Toc11037"/>
      <w:bookmarkStart w:id="575" w:name="_Toc23303"/>
      <w:bookmarkStart w:id="576" w:name="_Toc5793"/>
      <w:bookmarkStart w:id="577" w:name="_Toc28948"/>
      <w:bookmarkStart w:id="578" w:name="_Toc12418"/>
      <w:bookmarkStart w:id="579" w:name="_Toc1949"/>
      <w:r>
        <w:rPr>
          <w:rFonts w:ascii="宋体" w:eastAsia="宋体" w:cs="宋体"/>
          <w:b w:val="0"/>
          <w:color w:val="auto"/>
          <w:sz w:val="24"/>
          <w:szCs w:val="24"/>
        </w:rPr>
        <w:t>2.6 近3年内：系指从开标之日向前追溯3年起算。除非本磋商文件另有规定，否则均以合同签订之日为追溯结点。</w:t>
      </w:r>
      <w:bookmarkEnd w:id="574"/>
      <w:bookmarkEnd w:id="575"/>
      <w:bookmarkEnd w:id="576"/>
      <w:bookmarkEnd w:id="577"/>
      <w:bookmarkEnd w:id="578"/>
      <w:bookmarkEnd w:id="579"/>
    </w:p>
    <w:p w14:paraId="16113088">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580" w:name="_Toc11194"/>
      <w:bookmarkStart w:id="581" w:name="_Toc27157"/>
      <w:bookmarkStart w:id="582" w:name="_Toc12055"/>
      <w:bookmarkStart w:id="583" w:name="_Toc3948"/>
      <w:bookmarkStart w:id="584" w:name="_Toc14117"/>
      <w:bookmarkStart w:id="585" w:name="_Toc8235"/>
      <w:r>
        <w:rPr>
          <w:rFonts w:ascii="宋体" w:eastAsia="宋体" w:cs="宋体"/>
          <w:b w:val="0"/>
          <w:color w:val="auto"/>
          <w:sz w:val="24"/>
          <w:szCs w:val="24"/>
        </w:rPr>
        <w:t>2.7 业绩：系指符合本磋商文件规定且已经完成的合同及相关证明。投标人与其关联公司（如母公司、控股公司、参股公司、分公司、子公司、同一法人代表 的公司等）之间签订的合同，均不予认可。</w:t>
      </w:r>
      <w:bookmarkEnd w:id="580"/>
      <w:bookmarkEnd w:id="581"/>
      <w:bookmarkEnd w:id="582"/>
      <w:bookmarkEnd w:id="583"/>
      <w:bookmarkEnd w:id="584"/>
      <w:bookmarkEnd w:id="585"/>
    </w:p>
    <w:p w14:paraId="3063D7A6">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586" w:name="_Toc9508"/>
      <w:bookmarkStart w:id="587" w:name="_Toc5258"/>
      <w:bookmarkStart w:id="588" w:name="_Toc8995"/>
      <w:bookmarkStart w:id="589" w:name="_Toc16519"/>
      <w:bookmarkStart w:id="590" w:name="_Toc21902"/>
      <w:bookmarkStart w:id="591" w:name="_Toc20385"/>
      <w:r>
        <w:rPr>
          <w:rFonts w:ascii="宋体" w:eastAsia="宋体" w:cs="宋体"/>
          <w:b w:val="0"/>
          <w:color w:val="auto"/>
          <w:sz w:val="24"/>
          <w:szCs w:val="24"/>
        </w:rPr>
        <w:t>3.投标费用</w:t>
      </w:r>
      <w:bookmarkEnd w:id="586"/>
      <w:bookmarkEnd w:id="587"/>
      <w:bookmarkEnd w:id="588"/>
      <w:bookmarkEnd w:id="589"/>
      <w:bookmarkEnd w:id="590"/>
      <w:bookmarkEnd w:id="591"/>
    </w:p>
    <w:p w14:paraId="3C781F73">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592" w:name="_Toc11577"/>
      <w:bookmarkStart w:id="593" w:name="_Toc7589"/>
      <w:bookmarkStart w:id="594" w:name="_Toc16637"/>
      <w:bookmarkStart w:id="595" w:name="_Toc2046"/>
      <w:bookmarkStart w:id="596" w:name="_Toc6763"/>
      <w:bookmarkStart w:id="597" w:name="_Toc803"/>
      <w:r>
        <w:rPr>
          <w:rFonts w:ascii="宋体" w:eastAsia="宋体" w:cs="宋体"/>
          <w:b w:val="0"/>
          <w:color w:val="auto"/>
          <w:sz w:val="24"/>
          <w:szCs w:val="24"/>
        </w:rPr>
        <w:t>3.1 无论投标结果如何，投标人应自行承担其编制与递交投标文件所涉及的一切费用。</w:t>
      </w:r>
      <w:bookmarkEnd w:id="592"/>
      <w:bookmarkEnd w:id="593"/>
      <w:bookmarkEnd w:id="594"/>
      <w:bookmarkEnd w:id="595"/>
      <w:bookmarkEnd w:id="596"/>
      <w:bookmarkEnd w:id="597"/>
    </w:p>
    <w:p w14:paraId="11D115B0">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598" w:name="_Toc27383"/>
      <w:bookmarkStart w:id="599" w:name="_Toc13194"/>
      <w:bookmarkStart w:id="600" w:name="_Toc21463"/>
      <w:bookmarkStart w:id="601" w:name="_Toc21528"/>
      <w:bookmarkStart w:id="602" w:name="_Toc619"/>
      <w:bookmarkStart w:id="603" w:name="_Toc21103"/>
      <w:r>
        <w:rPr>
          <w:rFonts w:ascii="宋体" w:eastAsia="宋体" w:cs="宋体"/>
          <w:b w:val="0"/>
          <w:color w:val="auto"/>
          <w:sz w:val="24"/>
          <w:szCs w:val="24"/>
        </w:rPr>
        <w:t>4.合格的投标人</w:t>
      </w:r>
      <w:bookmarkEnd w:id="598"/>
      <w:bookmarkEnd w:id="599"/>
      <w:bookmarkEnd w:id="600"/>
      <w:bookmarkEnd w:id="601"/>
      <w:bookmarkEnd w:id="602"/>
      <w:bookmarkEnd w:id="603"/>
    </w:p>
    <w:p w14:paraId="18F695DE">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604" w:name="_Toc15148"/>
      <w:bookmarkStart w:id="605" w:name="_Toc29843"/>
      <w:bookmarkStart w:id="606" w:name="_Toc9801"/>
      <w:bookmarkStart w:id="607" w:name="_Toc342"/>
      <w:bookmarkStart w:id="608" w:name="_Toc30192"/>
      <w:bookmarkStart w:id="609" w:name="_Toc175"/>
      <w:r>
        <w:rPr>
          <w:rFonts w:ascii="宋体" w:eastAsia="宋体" w:cs="宋体"/>
          <w:b w:val="0"/>
          <w:color w:val="auto"/>
          <w:sz w:val="24"/>
          <w:szCs w:val="24"/>
        </w:rPr>
        <w:t>4.1 合格的投标人应符合磋商文件载明的投标资格。</w:t>
      </w:r>
      <w:bookmarkEnd w:id="604"/>
      <w:bookmarkEnd w:id="605"/>
      <w:bookmarkEnd w:id="606"/>
      <w:bookmarkEnd w:id="607"/>
      <w:bookmarkEnd w:id="608"/>
      <w:bookmarkEnd w:id="609"/>
    </w:p>
    <w:p w14:paraId="1D3BBFF8">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610" w:name="_Toc17771"/>
      <w:bookmarkStart w:id="611" w:name="_Toc4034"/>
      <w:bookmarkStart w:id="612" w:name="_Toc4455"/>
      <w:bookmarkStart w:id="613" w:name="_Toc26140"/>
      <w:bookmarkStart w:id="614" w:name="_Toc860"/>
      <w:bookmarkStart w:id="615" w:name="_Toc3778"/>
      <w:r>
        <w:rPr>
          <w:rFonts w:ascii="宋体" w:eastAsia="宋体" w:cs="宋体"/>
          <w:b w:val="0"/>
          <w:color w:val="auto"/>
          <w:sz w:val="24"/>
          <w:szCs w:val="24"/>
        </w:rPr>
        <w:t>4.2 投标人之间如果存在下列情形之一的，不得同时参加同一标段（包别）或者不分标段（包别）的同一项目投标：</w:t>
      </w:r>
      <w:bookmarkEnd w:id="610"/>
      <w:bookmarkEnd w:id="611"/>
      <w:bookmarkEnd w:id="612"/>
      <w:bookmarkEnd w:id="613"/>
      <w:bookmarkEnd w:id="614"/>
      <w:bookmarkEnd w:id="615"/>
    </w:p>
    <w:p w14:paraId="0E38CE27">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616" w:name="_Toc29476"/>
      <w:bookmarkStart w:id="617" w:name="_Toc19540"/>
      <w:bookmarkStart w:id="618" w:name="_Toc16814"/>
      <w:bookmarkStart w:id="619" w:name="_Toc14630"/>
      <w:bookmarkStart w:id="620" w:name="_Toc17980"/>
      <w:bookmarkStart w:id="621" w:name="_Toc28043"/>
      <w:r>
        <w:rPr>
          <w:rFonts w:ascii="宋体" w:eastAsia="宋体" w:cs="宋体"/>
          <w:b w:val="0"/>
          <w:color w:val="auto"/>
          <w:sz w:val="24"/>
          <w:szCs w:val="24"/>
        </w:rPr>
        <w:t>4.2.1 法定代表人为同一个人的两个及两个以上法人；</w:t>
      </w:r>
      <w:bookmarkEnd w:id="616"/>
      <w:bookmarkEnd w:id="617"/>
      <w:bookmarkEnd w:id="618"/>
      <w:bookmarkEnd w:id="619"/>
      <w:bookmarkEnd w:id="620"/>
      <w:bookmarkEnd w:id="621"/>
    </w:p>
    <w:p w14:paraId="5CB335F4">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622" w:name="_Toc20741"/>
      <w:bookmarkStart w:id="623" w:name="_Toc9954"/>
      <w:bookmarkStart w:id="624" w:name="_Toc24399"/>
      <w:bookmarkStart w:id="625" w:name="_Toc19583"/>
      <w:bookmarkStart w:id="626" w:name="_Toc19394"/>
      <w:bookmarkStart w:id="627" w:name="_Toc6878"/>
      <w:r>
        <w:rPr>
          <w:rFonts w:ascii="宋体" w:eastAsia="宋体" w:cs="宋体"/>
          <w:b w:val="0"/>
          <w:color w:val="auto"/>
          <w:sz w:val="24"/>
          <w:szCs w:val="24"/>
        </w:rPr>
        <w:t>4.2.2 母公司、全资子公司及其控股公司；</w:t>
      </w:r>
      <w:bookmarkEnd w:id="622"/>
      <w:bookmarkEnd w:id="623"/>
      <w:bookmarkEnd w:id="624"/>
      <w:bookmarkEnd w:id="625"/>
      <w:bookmarkEnd w:id="626"/>
      <w:bookmarkEnd w:id="627"/>
    </w:p>
    <w:p w14:paraId="7C05F0FD">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628" w:name="_Toc26375"/>
      <w:bookmarkStart w:id="629" w:name="_Toc6522"/>
      <w:bookmarkStart w:id="630" w:name="_Toc26522"/>
      <w:bookmarkStart w:id="631" w:name="_Toc2541"/>
      <w:bookmarkStart w:id="632" w:name="_Toc30343"/>
      <w:bookmarkStart w:id="633" w:name="_Toc9279"/>
      <w:r>
        <w:rPr>
          <w:rFonts w:ascii="宋体" w:eastAsia="宋体" w:cs="宋体"/>
          <w:b w:val="0"/>
          <w:color w:val="auto"/>
          <w:sz w:val="24"/>
          <w:szCs w:val="24"/>
        </w:rPr>
        <w:t>4.2.3 参加投标的其他组织之间存在特殊的利害关系的；</w:t>
      </w:r>
      <w:bookmarkEnd w:id="628"/>
      <w:bookmarkEnd w:id="629"/>
      <w:bookmarkEnd w:id="630"/>
      <w:bookmarkEnd w:id="631"/>
      <w:bookmarkEnd w:id="632"/>
      <w:bookmarkEnd w:id="633"/>
    </w:p>
    <w:p w14:paraId="70C4B181">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634" w:name="_Toc5146"/>
      <w:bookmarkStart w:id="635" w:name="_Toc5333"/>
      <w:bookmarkStart w:id="636" w:name="_Toc19375"/>
      <w:bookmarkStart w:id="637" w:name="_Toc17050"/>
      <w:bookmarkStart w:id="638" w:name="_Toc17705"/>
      <w:bookmarkStart w:id="639" w:name="_Toc30942"/>
      <w:r>
        <w:rPr>
          <w:rFonts w:ascii="宋体" w:eastAsia="宋体" w:cs="宋体"/>
          <w:b w:val="0"/>
          <w:color w:val="auto"/>
          <w:sz w:val="24"/>
          <w:szCs w:val="24"/>
        </w:rPr>
        <w:t>4.2.4 法律和行政法规规定的其他情形。</w:t>
      </w:r>
      <w:bookmarkEnd w:id="634"/>
      <w:bookmarkEnd w:id="635"/>
      <w:bookmarkEnd w:id="636"/>
      <w:bookmarkEnd w:id="637"/>
      <w:bookmarkEnd w:id="638"/>
      <w:bookmarkEnd w:id="639"/>
    </w:p>
    <w:p w14:paraId="6F507A35">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640" w:name="_Toc3077"/>
      <w:bookmarkStart w:id="641" w:name="_Toc20646"/>
      <w:bookmarkStart w:id="642" w:name="_Toc6127"/>
      <w:bookmarkStart w:id="643" w:name="_Toc15983"/>
      <w:bookmarkStart w:id="644" w:name="_Toc22998"/>
      <w:bookmarkStart w:id="645" w:name="_Toc29611"/>
      <w:r>
        <w:rPr>
          <w:rFonts w:ascii="宋体" w:eastAsia="宋体" w:cs="宋体"/>
          <w:b w:val="0"/>
          <w:color w:val="auto"/>
          <w:sz w:val="24"/>
          <w:szCs w:val="24"/>
        </w:rPr>
        <w:t>5.勘察现场</w:t>
      </w:r>
      <w:bookmarkEnd w:id="640"/>
      <w:bookmarkEnd w:id="641"/>
      <w:bookmarkEnd w:id="642"/>
      <w:bookmarkEnd w:id="643"/>
      <w:bookmarkEnd w:id="644"/>
      <w:bookmarkEnd w:id="645"/>
    </w:p>
    <w:p w14:paraId="69A5BE79">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646" w:name="_Toc23992"/>
      <w:bookmarkStart w:id="647" w:name="_Toc12544"/>
      <w:bookmarkStart w:id="648" w:name="_Toc14783"/>
      <w:bookmarkStart w:id="649" w:name="_Toc4870"/>
      <w:bookmarkStart w:id="650" w:name="_Toc29005"/>
      <w:bookmarkStart w:id="651" w:name="_Toc2981"/>
      <w:r>
        <w:rPr>
          <w:rFonts w:ascii="宋体" w:eastAsia="宋体" w:cs="宋体"/>
          <w:b w:val="0"/>
          <w:color w:val="auto"/>
          <w:sz w:val="24"/>
          <w:szCs w:val="24"/>
        </w:rPr>
        <w:t>5.1 投标人应自行对服务现场和周围环境进行勘察，以获取编制投标文件和签署合 同所需的资料。勘察现场的方式、地址及联系方式见投标人须知前附表。</w:t>
      </w:r>
      <w:bookmarkEnd w:id="646"/>
      <w:bookmarkEnd w:id="647"/>
      <w:bookmarkEnd w:id="648"/>
      <w:bookmarkEnd w:id="649"/>
      <w:bookmarkEnd w:id="650"/>
      <w:bookmarkEnd w:id="651"/>
    </w:p>
    <w:p w14:paraId="1B54F9EE">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652" w:name="_Toc25276"/>
      <w:bookmarkStart w:id="653" w:name="_Toc27728"/>
      <w:bookmarkStart w:id="654" w:name="_Toc22817"/>
      <w:bookmarkStart w:id="655" w:name="_Toc29017"/>
      <w:bookmarkStart w:id="656" w:name="_Toc23503"/>
      <w:bookmarkStart w:id="657" w:name="_Toc9958"/>
      <w:r>
        <w:rPr>
          <w:rFonts w:ascii="宋体" w:eastAsia="宋体" w:cs="宋体"/>
          <w:b w:val="0"/>
          <w:color w:val="auto"/>
          <w:sz w:val="24"/>
          <w:szCs w:val="24"/>
        </w:rPr>
        <w:t>5.2 勘察现场所发生的费用由投标人自行承担。采购人向投标人提供的有关服务现 场的资料和数据，是采购人现有的能使投标人利用的资料。采购人对投标人由此而做出 的推论、理解和结论概不负责。投标人未到服务现场实地踏勘的，中标后签订合同时和 履约过程中，不得以不完全了解现场情况为由，提出任何形式的增加合同价款或索赔的 要求。</w:t>
      </w:r>
      <w:bookmarkEnd w:id="652"/>
      <w:bookmarkEnd w:id="653"/>
      <w:bookmarkEnd w:id="654"/>
      <w:bookmarkEnd w:id="655"/>
      <w:bookmarkEnd w:id="656"/>
      <w:bookmarkEnd w:id="657"/>
    </w:p>
    <w:p w14:paraId="512E8C09">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658" w:name="_Toc9310"/>
      <w:bookmarkStart w:id="659" w:name="_Toc1880"/>
      <w:bookmarkStart w:id="660" w:name="_Toc26746"/>
      <w:bookmarkStart w:id="661" w:name="_Toc17417"/>
      <w:bookmarkStart w:id="662" w:name="_Toc13446"/>
      <w:bookmarkStart w:id="663" w:name="_Toc15054"/>
      <w:r>
        <w:rPr>
          <w:rFonts w:ascii="宋体" w:eastAsia="宋体" w:cs="宋体"/>
          <w:b w:val="0"/>
          <w:color w:val="auto"/>
          <w:sz w:val="24"/>
          <w:szCs w:val="24"/>
        </w:rPr>
        <w:t>5.3 除非有特殊要求，磋商文件不单独提供服务使用地的自然环境、气候条件、公用设施等情况，投标人被视为熟悉上述与履行合同有关的一切情况。</w:t>
      </w:r>
      <w:bookmarkEnd w:id="658"/>
      <w:bookmarkEnd w:id="659"/>
      <w:bookmarkEnd w:id="660"/>
      <w:bookmarkEnd w:id="661"/>
      <w:bookmarkEnd w:id="662"/>
      <w:bookmarkEnd w:id="663"/>
    </w:p>
    <w:p w14:paraId="79C6C7BC">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664" w:name="_Toc4288"/>
      <w:bookmarkStart w:id="665" w:name="_Toc32083"/>
      <w:bookmarkStart w:id="666" w:name="_Toc23147"/>
      <w:bookmarkStart w:id="667" w:name="_Toc31551"/>
      <w:bookmarkStart w:id="668" w:name="_Toc25184"/>
      <w:r>
        <w:rPr>
          <w:rFonts w:ascii="宋体" w:eastAsia="宋体" w:cs="宋体"/>
          <w:b w:val="0"/>
          <w:color w:val="auto"/>
          <w:sz w:val="24"/>
          <w:szCs w:val="24"/>
        </w:rPr>
        <w:t>6.知识产权</w:t>
      </w:r>
      <w:bookmarkEnd w:id="664"/>
      <w:bookmarkEnd w:id="665"/>
      <w:bookmarkEnd w:id="666"/>
      <w:bookmarkEnd w:id="667"/>
      <w:bookmarkEnd w:id="668"/>
    </w:p>
    <w:p w14:paraId="7A93F275">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669" w:name="_Toc2972"/>
      <w:bookmarkStart w:id="670" w:name="_Toc5924"/>
      <w:bookmarkStart w:id="671" w:name="_Toc201"/>
      <w:bookmarkStart w:id="672" w:name="_Toc7054"/>
      <w:bookmarkStart w:id="673" w:name="_Toc29303"/>
      <w:bookmarkStart w:id="674" w:name="_Toc28305"/>
      <w:r>
        <w:rPr>
          <w:rFonts w:ascii="宋体" w:eastAsia="宋体" w:cs="宋体"/>
          <w:b w:val="0"/>
          <w:color w:val="auto"/>
          <w:sz w:val="24"/>
          <w:szCs w:val="24"/>
        </w:rPr>
        <w:t>6.1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bookmarkEnd w:id="669"/>
      <w:bookmarkEnd w:id="670"/>
      <w:bookmarkEnd w:id="671"/>
      <w:bookmarkEnd w:id="672"/>
      <w:bookmarkEnd w:id="673"/>
      <w:bookmarkEnd w:id="674"/>
    </w:p>
    <w:p w14:paraId="372A8B8E">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675" w:name="_Toc20446"/>
      <w:bookmarkStart w:id="676" w:name="_Toc26931"/>
      <w:bookmarkStart w:id="677" w:name="_Toc4558"/>
      <w:bookmarkStart w:id="678" w:name="_Toc2902"/>
      <w:bookmarkStart w:id="679" w:name="_Toc32713"/>
      <w:bookmarkStart w:id="680" w:name="_Toc8146"/>
      <w:r>
        <w:rPr>
          <w:rFonts w:ascii="宋体" w:eastAsia="宋体" w:cs="宋体"/>
          <w:b w:val="0"/>
          <w:color w:val="auto"/>
          <w:sz w:val="24"/>
          <w:szCs w:val="24"/>
        </w:rPr>
        <w:t>6.2 投标人如欲在项目实施过程中采用自有知识成果，须在投标文件中声明，并提供相关知识产权证明文件。使用该知识成果后，投标人须提供开发接口和开发手册等技术文档。</w:t>
      </w:r>
      <w:bookmarkEnd w:id="675"/>
      <w:bookmarkEnd w:id="676"/>
      <w:bookmarkEnd w:id="677"/>
      <w:bookmarkEnd w:id="678"/>
      <w:bookmarkEnd w:id="679"/>
      <w:bookmarkEnd w:id="680"/>
    </w:p>
    <w:p w14:paraId="76EB1E61">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681" w:name="_Toc14107"/>
      <w:bookmarkStart w:id="682" w:name="_Toc31284"/>
      <w:bookmarkStart w:id="683" w:name="_Toc12098"/>
      <w:bookmarkStart w:id="684" w:name="_Toc15926"/>
      <w:bookmarkStart w:id="685" w:name="_Toc11936"/>
      <w:bookmarkStart w:id="686" w:name="_Toc19948"/>
      <w:r>
        <w:rPr>
          <w:rFonts w:ascii="宋体" w:eastAsia="宋体" w:cs="宋体"/>
          <w:b w:val="0"/>
          <w:color w:val="auto"/>
          <w:sz w:val="24"/>
          <w:szCs w:val="24"/>
        </w:rPr>
        <w:t>7.纪律与保密</w:t>
      </w:r>
      <w:bookmarkEnd w:id="681"/>
      <w:bookmarkEnd w:id="682"/>
      <w:bookmarkEnd w:id="683"/>
      <w:bookmarkEnd w:id="684"/>
      <w:bookmarkEnd w:id="685"/>
      <w:bookmarkEnd w:id="686"/>
    </w:p>
    <w:p w14:paraId="4476ED08">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687" w:name="_Toc11534"/>
      <w:bookmarkStart w:id="688" w:name="_Toc17096"/>
      <w:bookmarkStart w:id="689" w:name="_Toc16491"/>
      <w:bookmarkStart w:id="690" w:name="_Toc11945"/>
      <w:bookmarkStart w:id="691" w:name="_Toc18863"/>
      <w:bookmarkStart w:id="692" w:name="_Toc7458"/>
      <w:r>
        <w:rPr>
          <w:rFonts w:ascii="宋体" w:eastAsia="宋体" w:cs="宋体"/>
          <w:b w:val="0"/>
          <w:color w:val="auto"/>
          <w:sz w:val="24"/>
          <w:szCs w:val="24"/>
        </w:rPr>
        <w:t>7.1 投标人的投标行为应遵守中国的有关法律、法规和规章。</w:t>
      </w:r>
      <w:bookmarkEnd w:id="687"/>
      <w:bookmarkEnd w:id="688"/>
      <w:bookmarkEnd w:id="689"/>
      <w:bookmarkEnd w:id="690"/>
      <w:bookmarkEnd w:id="691"/>
      <w:bookmarkEnd w:id="692"/>
    </w:p>
    <w:p w14:paraId="1EA71A6B">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693" w:name="_Toc838"/>
      <w:bookmarkStart w:id="694" w:name="_Toc3327"/>
      <w:bookmarkStart w:id="695" w:name="_Toc14740"/>
      <w:bookmarkStart w:id="696" w:name="_Toc19745"/>
      <w:bookmarkStart w:id="697" w:name="_Toc12923"/>
      <w:bookmarkStart w:id="698" w:name="_Toc17411"/>
      <w:r>
        <w:rPr>
          <w:rFonts w:ascii="宋体" w:eastAsia="宋体" w:cs="宋体"/>
          <w:b w:val="0"/>
          <w:color w:val="auto"/>
          <w:sz w:val="24"/>
          <w:szCs w:val="24"/>
        </w:rPr>
        <w:t>7.2 投标人不得相互串通投标报价，不得妨碍其他投标</w:t>
      </w:r>
      <w:bookmarkEnd w:id="693"/>
      <w:bookmarkEnd w:id="694"/>
      <w:bookmarkEnd w:id="695"/>
    </w:p>
    <w:p w14:paraId="502875D4">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699" w:name="_Toc28139"/>
      <w:bookmarkStart w:id="700" w:name="_Toc13506"/>
      <w:bookmarkStart w:id="701" w:name="_Toc647"/>
      <w:r>
        <w:rPr>
          <w:rFonts w:ascii="宋体" w:eastAsia="宋体" w:cs="宋体"/>
          <w:b w:val="0"/>
          <w:color w:val="auto"/>
          <w:sz w:val="24"/>
          <w:szCs w:val="24"/>
        </w:rPr>
        <w:t>人的公平竞争，不得损害采购人或其他投标人的合法权益，投标人不得以向采购人、评委会成员行贿或者采取其他不正当手段谋取中标。</w:t>
      </w:r>
      <w:bookmarkEnd w:id="696"/>
      <w:bookmarkEnd w:id="697"/>
      <w:bookmarkEnd w:id="698"/>
      <w:bookmarkEnd w:id="699"/>
      <w:bookmarkEnd w:id="700"/>
      <w:bookmarkEnd w:id="701"/>
    </w:p>
    <w:p w14:paraId="2EF1D3C4">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702" w:name="_Toc26000"/>
      <w:bookmarkStart w:id="703" w:name="_Toc9558"/>
      <w:bookmarkStart w:id="704" w:name="_Toc9648"/>
      <w:bookmarkStart w:id="705" w:name="_Toc30825"/>
      <w:bookmarkStart w:id="706" w:name="_Toc24203"/>
      <w:bookmarkStart w:id="707" w:name="_Toc26547"/>
      <w:r>
        <w:rPr>
          <w:rFonts w:ascii="宋体" w:eastAsia="宋体" w:cs="宋体"/>
          <w:b w:val="0"/>
          <w:color w:val="auto"/>
          <w:sz w:val="24"/>
          <w:szCs w:val="24"/>
        </w:rPr>
        <w:t>7.2.1 有下列情形之一的，属于投标人相互串通投标：</w:t>
      </w:r>
      <w:bookmarkEnd w:id="702"/>
      <w:bookmarkEnd w:id="703"/>
      <w:bookmarkEnd w:id="704"/>
      <w:bookmarkEnd w:id="705"/>
      <w:bookmarkEnd w:id="706"/>
      <w:bookmarkEnd w:id="707"/>
    </w:p>
    <w:p w14:paraId="4BDBA0FB">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708" w:name="_Toc25617"/>
      <w:bookmarkStart w:id="709" w:name="_Toc15287"/>
      <w:bookmarkStart w:id="710" w:name="_Toc15087"/>
      <w:bookmarkStart w:id="711" w:name="_Toc13097"/>
      <w:bookmarkStart w:id="712" w:name="_Toc26837"/>
      <w:bookmarkStart w:id="713" w:name="_Toc1932"/>
      <w:r>
        <w:rPr>
          <w:rFonts w:ascii="宋体" w:eastAsia="宋体" w:cs="宋体"/>
          <w:b w:val="0"/>
          <w:color w:val="auto"/>
          <w:sz w:val="24"/>
          <w:szCs w:val="24"/>
        </w:rPr>
        <w:t>7.2.1.1 投标人之间协商投标报价等投标文件的实质性内容；</w:t>
      </w:r>
      <w:bookmarkEnd w:id="708"/>
      <w:bookmarkEnd w:id="709"/>
      <w:bookmarkEnd w:id="710"/>
      <w:bookmarkEnd w:id="711"/>
      <w:bookmarkEnd w:id="712"/>
      <w:bookmarkEnd w:id="713"/>
    </w:p>
    <w:p w14:paraId="2B6B6726">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714" w:name="_Toc2104"/>
      <w:bookmarkStart w:id="715" w:name="_Toc26530"/>
      <w:bookmarkStart w:id="716" w:name="_Toc7885"/>
      <w:bookmarkStart w:id="717" w:name="_Toc21422"/>
      <w:bookmarkStart w:id="718" w:name="_Toc6791"/>
      <w:bookmarkStart w:id="719" w:name="_Toc26015"/>
      <w:r>
        <w:rPr>
          <w:rFonts w:ascii="宋体" w:eastAsia="宋体" w:cs="宋体"/>
          <w:b w:val="0"/>
          <w:color w:val="auto"/>
          <w:sz w:val="24"/>
          <w:szCs w:val="24"/>
        </w:rPr>
        <w:t>7.2.1.2 投标人之间约定中标人；</w:t>
      </w:r>
      <w:bookmarkEnd w:id="714"/>
      <w:bookmarkEnd w:id="715"/>
      <w:bookmarkEnd w:id="716"/>
      <w:bookmarkEnd w:id="717"/>
      <w:bookmarkEnd w:id="718"/>
      <w:bookmarkEnd w:id="719"/>
    </w:p>
    <w:p w14:paraId="03F1797E">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720" w:name="_Toc21056"/>
      <w:bookmarkStart w:id="721" w:name="_Toc14618"/>
      <w:bookmarkStart w:id="722" w:name="_Toc11372"/>
      <w:bookmarkStart w:id="723" w:name="_Toc15964"/>
      <w:bookmarkStart w:id="724" w:name="_Toc18858"/>
      <w:bookmarkStart w:id="725" w:name="_Toc2740"/>
      <w:r>
        <w:rPr>
          <w:rFonts w:ascii="宋体" w:eastAsia="宋体" w:cs="宋体"/>
          <w:b w:val="0"/>
          <w:color w:val="auto"/>
          <w:sz w:val="24"/>
          <w:szCs w:val="24"/>
        </w:rPr>
        <w:t>7.2.1.3 投标人之间约定部分投标人放弃投标或者中标；</w:t>
      </w:r>
      <w:bookmarkEnd w:id="720"/>
      <w:bookmarkEnd w:id="721"/>
      <w:bookmarkEnd w:id="722"/>
      <w:bookmarkEnd w:id="723"/>
      <w:bookmarkEnd w:id="724"/>
      <w:bookmarkEnd w:id="725"/>
    </w:p>
    <w:p w14:paraId="317CEE1D">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726" w:name="_Toc14001"/>
      <w:bookmarkStart w:id="727" w:name="_Toc6135"/>
      <w:bookmarkStart w:id="728" w:name="_Toc2458"/>
      <w:bookmarkStart w:id="729" w:name="_Toc16726"/>
      <w:bookmarkStart w:id="730" w:name="_Toc5353"/>
      <w:bookmarkStart w:id="731" w:name="_Toc844"/>
      <w:r>
        <w:rPr>
          <w:rFonts w:ascii="宋体" w:eastAsia="宋体" w:cs="宋体"/>
          <w:b w:val="0"/>
          <w:color w:val="auto"/>
          <w:sz w:val="24"/>
          <w:szCs w:val="24"/>
        </w:rPr>
        <w:t>7.2.1.4 属于同一集团、协会、商会等组织成员的投标人按照该组织要求协同投标；</w:t>
      </w:r>
      <w:bookmarkEnd w:id="726"/>
      <w:bookmarkEnd w:id="727"/>
      <w:bookmarkEnd w:id="728"/>
      <w:bookmarkEnd w:id="729"/>
      <w:bookmarkEnd w:id="730"/>
      <w:bookmarkEnd w:id="731"/>
    </w:p>
    <w:p w14:paraId="7F069594">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732" w:name="_Toc801"/>
      <w:bookmarkStart w:id="733" w:name="_Toc14108"/>
      <w:bookmarkStart w:id="734" w:name="_Toc19700"/>
      <w:bookmarkStart w:id="735" w:name="_Toc14409"/>
      <w:bookmarkStart w:id="736" w:name="_Toc32226"/>
      <w:bookmarkStart w:id="737" w:name="_Toc3508"/>
      <w:r>
        <w:rPr>
          <w:rFonts w:ascii="宋体" w:eastAsia="宋体" w:cs="宋体"/>
          <w:b w:val="0"/>
          <w:color w:val="auto"/>
          <w:sz w:val="24"/>
          <w:szCs w:val="24"/>
        </w:rPr>
        <w:t>7.2.1.5 投标人之间为谋取中标或者排斥特定投标人而采取的其他联合行动。</w:t>
      </w:r>
      <w:bookmarkEnd w:id="732"/>
      <w:bookmarkEnd w:id="733"/>
      <w:bookmarkEnd w:id="734"/>
      <w:bookmarkEnd w:id="735"/>
      <w:bookmarkEnd w:id="736"/>
      <w:bookmarkEnd w:id="737"/>
    </w:p>
    <w:p w14:paraId="2E3CA441">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738" w:name="_Toc12133"/>
      <w:bookmarkStart w:id="739" w:name="_Toc7738"/>
      <w:bookmarkStart w:id="740" w:name="_Toc29107"/>
      <w:bookmarkStart w:id="741" w:name="_Toc28769"/>
      <w:bookmarkStart w:id="742" w:name="_Toc31968"/>
      <w:bookmarkStart w:id="743" w:name="_Toc14743"/>
      <w:r>
        <w:rPr>
          <w:rFonts w:ascii="宋体" w:eastAsia="宋体" w:cs="宋体"/>
          <w:b w:val="0"/>
          <w:color w:val="auto"/>
          <w:sz w:val="24"/>
          <w:szCs w:val="24"/>
        </w:rPr>
        <w:t>7.2.2 有下列情形之一的，视为投标人相互串通投标：</w:t>
      </w:r>
      <w:bookmarkEnd w:id="738"/>
      <w:bookmarkEnd w:id="739"/>
      <w:bookmarkEnd w:id="740"/>
      <w:bookmarkEnd w:id="741"/>
      <w:bookmarkEnd w:id="742"/>
      <w:bookmarkEnd w:id="743"/>
    </w:p>
    <w:p w14:paraId="5C59F295">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744" w:name="_Toc15849"/>
      <w:bookmarkStart w:id="745" w:name="_Toc5242"/>
      <w:bookmarkStart w:id="746" w:name="_Toc10586"/>
      <w:bookmarkStart w:id="747" w:name="_Toc24135"/>
      <w:bookmarkStart w:id="748" w:name="_Toc5613"/>
      <w:bookmarkStart w:id="749" w:name="_Toc8255"/>
      <w:r>
        <w:rPr>
          <w:rFonts w:ascii="宋体" w:eastAsia="宋体" w:cs="宋体"/>
          <w:b w:val="0"/>
          <w:color w:val="auto"/>
          <w:sz w:val="24"/>
          <w:szCs w:val="24"/>
        </w:rPr>
        <w:t>7.2.2.1 不同投标人的投标文件由同一单位或者个人编制；</w:t>
      </w:r>
      <w:bookmarkEnd w:id="744"/>
      <w:bookmarkEnd w:id="745"/>
      <w:bookmarkEnd w:id="746"/>
      <w:bookmarkEnd w:id="747"/>
      <w:bookmarkEnd w:id="748"/>
      <w:bookmarkEnd w:id="749"/>
    </w:p>
    <w:p w14:paraId="723EBF27">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750" w:name="_Toc15750"/>
      <w:bookmarkStart w:id="751" w:name="_Toc30914"/>
      <w:bookmarkStart w:id="752" w:name="_Toc10312"/>
      <w:bookmarkStart w:id="753" w:name="_Toc24625"/>
      <w:bookmarkStart w:id="754" w:name="_Toc11580"/>
      <w:bookmarkStart w:id="755" w:name="_Toc28652"/>
      <w:r>
        <w:rPr>
          <w:rFonts w:ascii="宋体" w:eastAsia="宋体" w:cs="宋体"/>
          <w:b w:val="0"/>
          <w:color w:val="auto"/>
          <w:sz w:val="24"/>
          <w:szCs w:val="24"/>
        </w:rPr>
        <w:t>7.2.2.2 不同投标人委托同一单位或者个人办理投标事宜，或提交电子投标文件的网卡地址一致；</w:t>
      </w:r>
      <w:bookmarkEnd w:id="750"/>
      <w:bookmarkEnd w:id="751"/>
      <w:bookmarkEnd w:id="752"/>
      <w:bookmarkEnd w:id="753"/>
      <w:bookmarkEnd w:id="754"/>
      <w:bookmarkEnd w:id="755"/>
    </w:p>
    <w:p w14:paraId="3DC98F5E">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756" w:name="_Toc1257"/>
      <w:bookmarkStart w:id="757" w:name="_Toc18804"/>
      <w:bookmarkStart w:id="758" w:name="_Toc24518"/>
      <w:bookmarkStart w:id="759" w:name="_Toc23528"/>
      <w:bookmarkStart w:id="760" w:name="_Toc18807"/>
      <w:bookmarkStart w:id="761" w:name="_Toc27545"/>
      <w:r>
        <w:rPr>
          <w:rFonts w:ascii="宋体" w:eastAsia="宋体" w:cs="宋体"/>
          <w:b w:val="0"/>
          <w:color w:val="auto"/>
          <w:sz w:val="24"/>
          <w:szCs w:val="24"/>
        </w:rPr>
        <w:t>7.2.2.3 不同投标人的投标文件载明的项目管理成员为同一人；</w:t>
      </w:r>
      <w:bookmarkEnd w:id="756"/>
      <w:bookmarkEnd w:id="757"/>
      <w:bookmarkEnd w:id="758"/>
      <w:bookmarkEnd w:id="759"/>
      <w:bookmarkEnd w:id="760"/>
      <w:bookmarkEnd w:id="761"/>
    </w:p>
    <w:p w14:paraId="6A9E8CDA">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762" w:name="_Toc1211"/>
      <w:bookmarkStart w:id="763" w:name="_Toc9860"/>
      <w:bookmarkStart w:id="764" w:name="_Toc10610"/>
      <w:bookmarkStart w:id="765" w:name="_Toc20455"/>
      <w:bookmarkStart w:id="766" w:name="_Toc19580"/>
      <w:bookmarkStart w:id="767" w:name="_Toc7103"/>
      <w:r>
        <w:rPr>
          <w:rFonts w:ascii="宋体" w:eastAsia="宋体" w:cs="宋体"/>
          <w:b w:val="0"/>
          <w:color w:val="auto"/>
          <w:sz w:val="24"/>
          <w:szCs w:val="24"/>
        </w:rPr>
        <w:t>7.2.2.4 不同投标人的投标文件异常一致或者投标报价呈规律性差异；</w:t>
      </w:r>
      <w:bookmarkEnd w:id="762"/>
      <w:bookmarkEnd w:id="763"/>
      <w:bookmarkEnd w:id="764"/>
      <w:bookmarkEnd w:id="765"/>
      <w:bookmarkEnd w:id="766"/>
      <w:bookmarkEnd w:id="767"/>
    </w:p>
    <w:p w14:paraId="335BD55C">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768" w:name="_Toc11368"/>
      <w:bookmarkStart w:id="769" w:name="_Toc14676"/>
      <w:bookmarkStart w:id="770" w:name="_Toc14745"/>
      <w:bookmarkStart w:id="771" w:name="_Toc22754"/>
      <w:bookmarkStart w:id="772" w:name="_Toc23446"/>
      <w:bookmarkStart w:id="773" w:name="_Toc16388"/>
      <w:r>
        <w:rPr>
          <w:rFonts w:ascii="宋体" w:eastAsia="宋体" w:cs="宋体"/>
          <w:b w:val="0"/>
          <w:color w:val="auto"/>
          <w:sz w:val="24"/>
          <w:szCs w:val="24"/>
        </w:rPr>
        <w:t>7.2.2.5 不同投标人的投标文件相互混装；</w:t>
      </w:r>
      <w:bookmarkEnd w:id="768"/>
      <w:bookmarkEnd w:id="769"/>
      <w:bookmarkEnd w:id="770"/>
      <w:bookmarkEnd w:id="771"/>
      <w:bookmarkEnd w:id="772"/>
      <w:bookmarkEnd w:id="773"/>
    </w:p>
    <w:p w14:paraId="33B370C8">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774" w:name="_Toc348"/>
      <w:bookmarkStart w:id="775" w:name="_Toc10047"/>
      <w:bookmarkStart w:id="776" w:name="_Toc4548"/>
      <w:bookmarkStart w:id="777" w:name="_Toc32753"/>
      <w:bookmarkStart w:id="778" w:name="_Toc27860"/>
      <w:bookmarkStart w:id="779" w:name="_Toc2655"/>
      <w:r>
        <w:rPr>
          <w:rFonts w:ascii="宋体" w:eastAsia="宋体" w:cs="宋体"/>
          <w:b w:val="0"/>
          <w:color w:val="auto"/>
          <w:sz w:val="24"/>
          <w:szCs w:val="24"/>
        </w:rPr>
        <w:t>7.2.2.6 不同投标人的投标保证金从同一单位或者个人的账户转出。</w:t>
      </w:r>
      <w:bookmarkEnd w:id="774"/>
      <w:bookmarkEnd w:id="775"/>
      <w:bookmarkEnd w:id="776"/>
      <w:bookmarkEnd w:id="777"/>
      <w:bookmarkEnd w:id="778"/>
      <w:bookmarkEnd w:id="779"/>
    </w:p>
    <w:p w14:paraId="6AD72539">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780" w:name="_Toc27007"/>
      <w:bookmarkStart w:id="781" w:name="_Toc21496"/>
      <w:bookmarkStart w:id="782" w:name="_Toc17655"/>
      <w:bookmarkStart w:id="783" w:name="_Toc278"/>
      <w:bookmarkStart w:id="784" w:name="_Toc22962"/>
      <w:bookmarkStart w:id="785" w:name="_Toc22990"/>
      <w:r>
        <w:rPr>
          <w:rFonts w:ascii="宋体" w:eastAsia="宋体" w:cs="宋体"/>
          <w:b w:val="0"/>
          <w:color w:val="auto"/>
          <w:sz w:val="24"/>
          <w:szCs w:val="24"/>
        </w:rPr>
        <w:t>7.3 在确定中标人之前，投标人不得与采购人就投标价格、投标方案等实质性内容进行磋商，也不得私下接触评委会成员。</w:t>
      </w:r>
      <w:bookmarkEnd w:id="780"/>
      <w:bookmarkEnd w:id="781"/>
      <w:bookmarkEnd w:id="782"/>
      <w:bookmarkEnd w:id="783"/>
      <w:bookmarkEnd w:id="784"/>
      <w:bookmarkEnd w:id="785"/>
    </w:p>
    <w:p w14:paraId="62D656F0">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786" w:name="_Toc17970"/>
      <w:bookmarkStart w:id="787" w:name="_Toc23469"/>
      <w:bookmarkStart w:id="788" w:name="_Toc24786"/>
      <w:bookmarkStart w:id="789" w:name="_Toc17755"/>
      <w:bookmarkStart w:id="790" w:name="_Toc21895"/>
      <w:bookmarkStart w:id="791" w:name="_Toc2372"/>
      <w:r>
        <w:rPr>
          <w:rFonts w:ascii="宋体" w:eastAsia="宋体" w:cs="宋体"/>
          <w:b w:val="0"/>
          <w:color w:val="auto"/>
          <w:sz w:val="24"/>
          <w:szCs w:val="24"/>
        </w:rPr>
        <w:t>7.4 在确定中标人之前，投标人试图在投标文件审查、澄清、比较和评价时对评委会施加任何影响都可能导致其投标无效。</w:t>
      </w:r>
      <w:bookmarkEnd w:id="786"/>
      <w:bookmarkEnd w:id="787"/>
      <w:bookmarkEnd w:id="788"/>
      <w:bookmarkEnd w:id="789"/>
      <w:bookmarkEnd w:id="790"/>
      <w:bookmarkEnd w:id="791"/>
    </w:p>
    <w:p w14:paraId="2A82EDC2">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792" w:name="_Toc31455"/>
      <w:bookmarkStart w:id="793" w:name="_Toc13840"/>
      <w:bookmarkStart w:id="794" w:name="_Toc19127"/>
      <w:bookmarkStart w:id="795" w:name="_Toc20743"/>
      <w:bookmarkStart w:id="796" w:name="_Toc15722"/>
      <w:bookmarkStart w:id="797" w:name="_Toc30691"/>
      <w:r>
        <w:rPr>
          <w:rFonts w:ascii="宋体" w:eastAsia="宋体" w:cs="宋体"/>
          <w:b w:val="0"/>
          <w:color w:val="auto"/>
          <w:sz w:val="24"/>
          <w:szCs w:val="24"/>
        </w:rPr>
        <w:t>7.5 由采购人向投标人提供的图纸、详细资料、样品、模型、模件和所有其它资料，被视为保密资料，仅被用于它所规定的用途。除非得到采购人的同意，不能向任何第三方透露。</w:t>
      </w:r>
      <w:bookmarkEnd w:id="792"/>
      <w:bookmarkEnd w:id="793"/>
      <w:bookmarkEnd w:id="794"/>
      <w:bookmarkEnd w:id="795"/>
      <w:bookmarkEnd w:id="796"/>
      <w:bookmarkEnd w:id="797"/>
    </w:p>
    <w:p w14:paraId="2085326A">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798" w:name="_Toc9921"/>
      <w:bookmarkStart w:id="799" w:name="_Toc27896"/>
      <w:bookmarkStart w:id="800" w:name="_Toc10313"/>
      <w:bookmarkStart w:id="801" w:name="_Toc6638"/>
      <w:bookmarkStart w:id="802" w:name="_Toc7464"/>
      <w:bookmarkStart w:id="803" w:name="_Toc2345"/>
      <w:r>
        <w:rPr>
          <w:rFonts w:ascii="宋体" w:eastAsia="宋体" w:cs="宋体"/>
          <w:b w:val="0"/>
          <w:color w:val="auto"/>
          <w:sz w:val="24"/>
          <w:szCs w:val="24"/>
        </w:rPr>
        <w:t>8.联合体投标</w:t>
      </w:r>
      <w:bookmarkEnd w:id="798"/>
      <w:bookmarkEnd w:id="799"/>
      <w:bookmarkEnd w:id="800"/>
      <w:bookmarkEnd w:id="801"/>
      <w:bookmarkEnd w:id="802"/>
      <w:bookmarkEnd w:id="803"/>
    </w:p>
    <w:p w14:paraId="715B760B">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804" w:name="_Toc14683"/>
      <w:bookmarkStart w:id="805" w:name="_Toc7816"/>
      <w:bookmarkStart w:id="806" w:name="_Toc7604"/>
      <w:bookmarkStart w:id="807" w:name="_Toc9602"/>
      <w:bookmarkStart w:id="808" w:name="_Toc6408"/>
      <w:bookmarkStart w:id="809" w:name="_Toc1896"/>
      <w:r>
        <w:rPr>
          <w:rFonts w:ascii="宋体" w:eastAsia="宋体" w:cs="宋体"/>
          <w:b w:val="0"/>
          <w:color w:val="auto"/>
          <w:sz w:val="24"/>
          <w:szCs w:val="24"/>
        </w:rPr>
        <w:t>8.1 除非本项目明确要求不接受联合体形式投标外，两个或两个以上供应商可以组成一个联合体投标，以一个投标人的身份投标。</w:t>
      </w:r>
      <w:bookmarkEnd w:id="804"/>
      <w:bookmarkEnd w:id="805"/>
      <w:bookmarkEnd w:id="806"/>
      <w:bookmarkEnd w:id="807"/>
      <w:bookmarkEnd w:id="808"/>
      <w:bookmarkEnd w:id="809"/>
    </w:p>
    <w:p w14:paraId="687FECB6">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810" w:name="_Toc2463"/>
      <w:bookmarkStart w:id="811" w:name="_Toc31047"/>
      <w:bookmarkStart w:id="812" w:name="_Toc10696"/>
      <w:bookmarkStart w:id="813" w:name="_Toc30536"/>
      <w:bookmarkStart w:id="814" w:name="_Toc26336"/>
      <w:bookmarkStart w:id="815" w:name="_Toc22568"/>
      <w:r>
        <w:rPr>
          <w:rFonts w:ascii="宋体" w:eastAsia="宋体" w:cs="宋体"/>
          <w:b w:val="0"/>
          <w:color w:val="auto"/>
          <w:sz w:val="24"/>
          <w:szCs w:val="24"/>
        </w:rPr>
        <w:t>8.2 以联合体形式参加投标的，联合体各方均应当符合《政府采购法》第二十二条第一款规定的条件，根据采购项目的特殊要求规定投标人特定条件的，联合体各方中至少应当有一方符合。</w:t>
      </w:r>
      <w:bookmarkEnd w:id="810"/>
      <w:bookmarkEnd w:id="811"/>
      <w:bookmarkEnd w:id="812"/>
      <w:bookmarkEnd w:id="813"/>
      <w:bookmarkEnd w:id="814"/>
      <w:bookmarkEnd w:id="815"/>
    </w:p>
    <w:p w14:paraId="60D38232">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816" w:name="_Toc17378"/>
      <w:bookmarkStart w:id="817" w:name="_Toc26269"/>
      <w:bookmarkStart w:id="818" w:name="_Toc28054"/>
      <w:bookmarkStart w:id="819" w:name="_Toc9605"/>
      <w:bookmarkStart w:id="820" w:name="_Toc12731"/>
      <w:bookmarkStart w:id="821" w:name="_Toc22839"/>
      <w:r>
        <w:rPr>
          <w:rFonts w:ascii="宋体" w:eastAsia="宋体" w:cs="宋体"/>
          <w:b w:val="0"/>
          <w:color w:val="auto"/>
          <w:sz w:val="24"/>
          <w:szCs w:val="24"/>
        </w:rPr>
        <w:t>8.3 联合体各方之间应当签订联合体协议，明确约定联合体各方应当承担的工作和相应的责任，并将联合体协议连同投标文件一并提交采购人。由同一专业的单位组成的 联合体，按照同一资质等级较低的单位确定资质等级。联合体各方签订联合体协议后，不得再以自己的名义单独在同一项目中投标，也不得组成新的联合体参加同一项目投标。</w:t>
      </w:r>
      <w:bookmarkEnd w:id="816"/>
      <w:bookmarkEnd w:id="817"/>
      <w:bookmarkEnd w:id="818"/>
      <w:bookmarkEnd w:id="819"/>
      <w:bookmarkEnd w:id="820"/>
      <w:bookmarkEnd w:id="821"/>
    </w:p>
    <w:p w14:paraId="15B9CE1C">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822" w:name="_Toc28268"/>
      <w:bookmarkStart w:id="823" w:name="_Toc31231"/>
      <w:bookmarkStart w:id="824" w:name="_Toc18247"/>
      <w:bookmarkStart w:id="825" w:name="_Toc23221"/>
      <w:bookmarkStart w:id="826" w:name="_Toc30362"/>
      <w:bookmarkStart w:id="827" w:name="_Toc24450"/>
      <w:r>
        <w:rPr>
          <w:rFonts w:ascii="宋体" w:eastAsia="宋体" w:cs="宋体"/>
          <w:b w:val="0"/>
          <w:color w:val="auto"/>
          <w:sz w:val="24"/>
          <w:szCs w:val="24"/>
        </w:rPr>
        <w:t>8.4 联合体投标的，可以由联合体中的一方或者共同提交投标保证金，以一方名义提交保证金的，对联合体各方均具有约束力。</w:t>
      </w:r>
      <w:bookmarkEnd w:id="822"/>
      <w:bookmarkEnd w:id="823"/>
      <w:bookmarkEnd w:id="824"/>
      <w:bookmarkEnd w:id="825"/>
      <w:bookmarkEnd w:id="826"/>
      <w:bookmarkEnd w:id="827"/>
    </w:p>
    <w:p w14:paraId="523FA5ED">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828" w:name="_Toc13801"/>
      <w:bookmarkStart w:id="829" w:name="_Toc12263"/>
      <w:bookmarkStart w:id="830" w:name="_Toc7898"/>
      <w:bookmarkStart w:id="831" w:name="_Toc31574"/>
      <w:bookmarkStart w:id="832" w:name="_Toc12647"/>
      <w:bookmarkStart w:id="833" w:name="_Toc30781"/>
      <w:r>
        <w:rPr>
          <w:rFonts w:ascii="宋体" w:eastAsia="宋体" w:cs="宋体"/>
          <w:b w:val="0"/>
          <w:color w:val="auto"/>
          <w:sz w:val="24"/>
          <w:szCs w:val="24"/>
        </w:rPr>
        <w:t>9.投标品牌</w:t>
      </w:r>
      <w:bookmarkEnd w:id="828"/>
      <w:bookmarkEnd w:id="829"/>
      <w:bookmarkEnd w:id="830"/>
      <w:bookmarkEnd w:id="831"/>
      <w:bookmarkEnd w:id="832"/>
      <w:bookmarkEnd w:id="833"/>
    </w:p>
    <w:p w14:paraId="23CEC0DA">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834" w:name="_Toc9928"/>
      <w:bookmarkStart w:id="835" w:name="_Toc28387"/>
      <w:bookmarkStart w:id="836" w:name="_Toc18916"/>
      <w:bookmarkStart w:id="837" w:name="_Toc32475"/>
      <w:bookmarkStart w:id="838" w:name="_Toc27814"/>
      <w:bookmarkStart w:id="839" w:name="_Toc18473"/>
      <w:r>
        <w:rPr>
          <w:rFonts w:ascii="宋体" w:eastAsia="宋体" w:cs="宋体"/>
          <w:b w:val="0"/>
          <w:color w:val="auto"/>
          <w:sz w:val="24"/>
          <w:szCs w:val="24"/>
        </w:rPr>
        <w:t>9.1 磋商文件中提供的参考商标、品牌或标准（包括工艺、材料、设备、样本目录号码、标准等），是采购人为了方便投标人更准确、更清楚说明拟采购货物的技术规格和标准，并无限制性。投标人在投标中若选用替代商标、品牌或标准，应优于或相当于参考商标、品牌或标准。</w:t>
      </w:r>
      <w:bookmarkEnd w:id="834"/>
      <w:bookmarkEnd w:id="835"/>
      <w:bookmarkEnd w:id="836"/>
      <w:bookmarkEnd w:id="837"/>
      <w:bookmarkEnd w:id="838"/>
      <w:bookmarkEnd w:id="839"/>
    </w:p>
    <w:p w14:paraId="4BF678E1">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840" w:name="_Toc31614"/>
      <w:bookmarkStart w:id="841" w:name="_Toc28264"/>
      <w:bookmarkStart w:id="842" w:name="_Toc5182"/>
      <w:bookmarkStart w:id="843" w:name="_Toc332"/>
      <w:bookmarkStart w:id="844" w:name="_Toc13395"/>
      <w:bookmarkStart w:id="845" w:name="_Toc15798"/>
      <w:r>
        <w:rPr>
          <w:rFonts w:ascii="宋体" w:eastAsia="宋体" w:cs="宋体"/>
          <w:b w:val="0"/>
          <w:color w:val="auto"/>
          <w:sz w:val="24"/>
          <w:szCs w:val="24"/>
        </w:rPr>
        <w:t>10.合同标的转让</w:t>
      </w:r>
      <w:bookmarkEnd w:id="840"/>
      <w:bookmarkEnd w:id="841"/>
      <w:bookmarkEnd w:id="842"/>
      <w:bookmarkEnd w:id="843"/>
      <w:bookmarkEnd w:id="844"/>
      <w:bookmarkEnd w:id="845"/>
    </w:p>
    <w:p w14:paraId="14801331">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846" w:name="_Toc27506"/>
      <w:bookmarkStart w:id="847" w:name="_Toc7646"/>
      <w:bookmarkStart w:id="848" w:name="_Toc8964"/>
      <w:bookmarkStart w:id="849" w:name="_Toc2217"/>
      <w:bookmarkStart w:id="850" w:name="_Toc30886"/>
      <w:bookmarkStart w:id="851" w:name="_Toc9570"/>
      <w:r>
        <w:rPr>
          <w:rFonts w:ascii="宋体" w:eastAsia="宋体" w:cs="宋体"/>
          <w:b w:val="0"/>
          <w:color w:val="auto"/>
          <w:sz w:val="24"/>
          <w:szCs w:val="24"/>
        </w:rPr>
        <w:t>10.1 合同未约定或者未经采购人同意，中标人不得向他人转让中标项目，也不得将中标项目肢解后分别向他人转让。</w:t>
      </w:r>
      <w:bookmarkEnd w:id="846"/>
      <w:bookmarkEnd w:id="847"/>
      <w:bookmarkEnd w:id="848"/>
      <w:bookmarkEnd w:id="849"/>
      <w:bookmarkEnd w:id="850"/>
      <w:bookmarkEnd w:id="851"/>
    </w:p>
    <w:p w14:paraId="6AF4D1A2">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852" w:name="_Toc6801"/>
      <w:bookmarkStart w:id="853" w:name="_Toc31859"/>
      <w:bookmarkStart w:id="854" w:name="_Toc15363"/>
      <w:bookmarkStart w:id="855" w:name="_Toc4752"/>
      <w:bookmarkStart w:id="856" w:name="_Toc7562"/>
      <w:bookmarkStart w:id="857" w:name="_Toc30849"/>
      <w:r>
        <w:rPr>
          <w:rFonts w:ascii="宋体" w:eastAsia="宋体" w:cs="宋体"/>
          <w:b w:val="0"/>
          <w:color w:val="auto"/>
          <w:sz w:val="24"/>
          <w:szCs w:val="24"/>
        </w:rPr>
        <w:t>10.2 合同约定或者经采购人同意，中标人可以将中标项目的部分非主体、非关键性工作分包给他人完成。接受分包的人应当具备相应的资格条件，并不得再次分包。如果本项目允许分包，采购人根据采购项目的实际情况，拟在中标后将中标项目的非主体、 非关键性工作交由他人完成的，应在投标文件中载明。</w:t>
      </w:r>
      <w:bookmarkEnd w:id="852"/>
      <w:bookmarkEnd w:id="853"/>
      <w:bookmarkEnd w:id="854"/>
      <w:bookmarkEnd w:id="855"/>
      <w:bookmarkEnd w:id="856"/>
      <w:bookmarkEnd w:id="857"/>
    </w:p>
    <w:p w14:paraId="226758F0">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858" w:name="_Toc25801"/>
      <w:bookmarkStart w:id="859" w:name="_Toc10944"/>
      <w:bookmarkStart w:id="860" w:name="_Toc28209"/>
      <w:bookmarkStart w:id="861" w:name="_Toc13041"/>
      <w:bookmarkStart w:id="862" w:name="_Toc19294"/>
      <w:bookmarkStart w:id="863" w:name="_Toc22429"/>
      <w:r>
        <w:rPr>
          <w:rFonts w:ascii="宋体" w:eastAsia="宋体" w:cs="宋体"/>
          <w:b w:val="0"/>
          <w:color w:val="auto"/>
          <w:sz w:val="24"/>
          <w:szCs w:val="24"/>
        </w:rPr>
        <w:t>10.3 中标人应当就分包项目向采购人负责，接受分包的人就分包项目承担连带责任。</w:t>
      </w:r>
      <w:bookmarkEnd w:id="858"/>
      <w:bookmarkEnd w:id="859"/>
      <w:bookmarkEnd w:id="860"/>
      <w:bookmarkEnd w:id="861"/>
      <w:bookmarkEnd w:id="862"/>
      <w:bookmarkEnd w:id="863"/>
    </w:p>
    <w:p w14:paraId="00F0515D">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eastAsia="宋体" w:cs="宋体"/>
          <w:color w:val="auto"/>
          <w:sz w:val="24"/>
          <w:szCs w:val="24"/>
        </w:rPr>
      </w:pPr>
      <w:bookmarkStart w:id="864" w:name="二．招标文件"/>
      <w:bookmarkEnd w:id="864"/>
      <w:bookmarkStart w:id="865" w:name="_Toc16105"/>
      <w:bookmarkStart w:id="866" w:name="_Toc4825"/>
      <w:bookmarkStart w:id="867" w:name="_Toc3155"/>
      <w:bookmarkStart w:id="868" w:name="_Toc4331"/>
      <w:bookmarkStart w:id="869" w:name="_Toc29298"/>
      <w:bookmarkStart w:id="870" w:name="_Toc18362"/>
      <w:r>
        <w:rPr>
          <w:rFonts w:ascii="宋体" w:eastAsia="宋体" w:cs="宋体"/>
          <w:color w:val="auto"/>
          <w:sz w:val="24"/>
          <w:szCs w:val="24"/>
        </w:rPr>
        <w:t>二．磋商文件</w:t>
      </w:r>
      <w:bookmarkEnd w:id="865"/>
      <w:bookmarkEnd w:id="866"/>
      <w:bookmarkEnd w:id="867"/>
      <w:bookmarkEnd w:id="868"/>
      <w:bookmarkEnd w:id="869"/>
      <w:bookmarkEnd w:id="870"/>
    </w:p>
    <w:p w14:paraId="29284E81">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871" w:name="_Toc9607"/>
      <w:bookmarkStart w:id="872" w:name="_Toc27776"/>
      <w:bookmarkStart w:id="873" w:name="_Toc30900"/>
      <w:bookmarkStart w:id="874" w:name="_Toc14480"/>
      <w:bookmarkStart w:id="875" w:name="_Toc24562"/>
      <w:bookmarkStart w:id="876" w:name="_Toc4148"/>
      <w:r>
        <w:rPr>
          <w:rFonts w:ascii="宋体" w:eastAsia="宋体" w:cs="宋体"/>
          <w:b w:val="0"/>
          <w:color w:val="auto"/>
          <w:sz w:val="24"/>
          <w:szCs w:val="24"/>
        </w:rPr>
        <w:t>11.磋商文件构成</w:t>
      </w:r>
      <w:bookmarkEnd w:id="871"/>
      <w:bookmarkEnd w:id="872"/>
      <w:bookmarkEnd w:id="873"/>
      <w:bookmarkEnd w:id="874"/>
      <w:bookmarkEnd w:id="875"/>
      <w:bookmarkEnd w:id="876"/>
    </w:p>
    <w:p w14:paraId="1EA97D20">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877" w:name="_Toc6360"/>
      <w:bookmarkStart w:id="878" w:name="_Toc813"/>
      <w:bookmarkStart w:id="879" w:name="_Toc9301"/>
      <w:bookmarkStart w:id="880" w:name="_Toc14429"/>
      <w:bookmarkStart w:id="881" w:name="_Toc15160"/>
      <w:bookmarkStart w:id="882" w:name="_Toc2317"/>
      <w:r>
        <w:rPr>
          <w:rFonts w:ascii="宋体" w:eastAsia="宋体" w:cs="宋体"/>
          <w:b w:val="0"/>
          <w:color w:val="auto"/>
          <w:sz w:val="24"/>
          <w:szCs w:val="24"/>
        </w:rPr>
        <w:t>11.1 磋商文件包括以下部分：</w:t>
      </w:r>
      <w:bookmarkEnd w:id="877"/>
      <w:bookmarkEnd w:id="878"/>
      <w:bookmarkEnd w:id="879"/>
      <w:bookmarkEnd w:id="880"/>
      <w:bookmarkEnd w:id="881"/>
      <w:bookmarkEnd w:id="882"/>
    </w:p>
    <w:p w14:paraId="65A968D3">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883" w:name="_Toc19033"/>
      <w:bookmarkStart w:id="884" w:name="_Toc30890"/>
      <w:bookmarkStart w:id="885" w:name="_Toc23495"/>
      <w:bookmarkStart w:id="886" w:name="_Toc11297"/>
      <w:bookmarkStart w:id="887" w:name="_Toc3413"/>
      <w:bookmarkStart w:id="888" w:name="_Toc18596"/>
      <w:r>
        <w:rPr>
          <w:rFonts w:ascii="宋体" w:eastAsia="宋体" w:cs="宋体"/>
          <w:b w:val="0"/>
          <w:color w:val="auto"/>
          <w:sz w:val="24"/>
          <w:szCs w:val="24"/>
        </w:rPr>
        <w:t>11.1.1 第一章：磋商公告；</w:t>
      </w:r>
      <w:bookmarkEnd w:id="883"/>
      <w:bookmarkEnd w:id="884"/>
      <w:bookmarkEnd w:id="885"/>
      <w:bookmarkEnd w:id="886"/>
      <w:bookmarkEnd w:id="887"/>
      <w:bookmarkEnd w:id="888"/>
    </w:p>
    <w:p w14:paraId="405229BB">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889" w:name="_Toc30766"/>
      <w:bookmarkStart w:id="890" w:name="_Toc18524"/>
      <w:bookmarkStart w:id="891" w:name="_Toc280"/>
      <w:bookmarkStart w:id="892" w:name="_Toc1140"/>
      <w:bookmarkStart w:id="893" w:name="_Toc26060"/>
      <w:bookmarkStart w:id="894" w:name="_Toc13901"/>
      <w:r>
        <w:rPr>
          <w:rFonts w:ascii="宋体" w:eastAsia="宋体" w:cs="宋体"/>
          <w:b w:val="0"/>
          <w:color w:val="auto"/>
          <w:sz w:val="24"/>
          <w:szCs w:val="24"/>
        </w:rPr>
        <w:t>11.1.2 第二章：投标人须知前附表；</w:t>
      </w:r>
      <w:bookmarkEnd w:id="889"/>
      <w:bookmarkEnd w:id="890"/>
      <w:bookmarkEnd w:id="891"/>
      <w:bookmarkEnd w:id="892"/>
      <w:bookmarkEnd w:id="893"/>
      <w:bookmarkEnd w:id="894"/>
    </w:p>
    <w:p w14:paraId="2A7EA7B6">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895" w:name="_Toc30239"/>
      <w:bookmarkStart w:id="896" w:name="_Toc1474"/>
      <w:bookmarkStart w:id="897" w:name="_Toc7642"/>
      <w:bookmarkStart w:id="898" w:name="_Toc28865"/>
      <w:bookmarkStart w:id="899" w:name="_Toc29148"/>
      <w:bookmarkStart w:id="900" w:name="_Toc3868"/>
      <w:r>
        <w:rPr>
          <w:rFonts w:ascii="宋体" w:eastAsia="宋体" w:cs="宋体"/>
          <w:b w:val="0"/>
          <w:color w:val="auto"/>
          <w:sz w:val="24"/>
          <w:szCs w:val="24"/>
        </w:rPr>
        <w:t>11.1.3 第三章：采购需求；</w:t>
      </w:r>
      <w:bookmarkEnd w:id="895"/>
      <w:bookmarkEnd w:id="896"/>
      <w:bookmarkEnd w:id="897"/>
      <w:bookmarkEnd w:id="898"/>
      <w:bookmarkEnd w:id="899"/>
      <w:bookmarkEnd w:id="900"/>
    </w:p>
    <w:p w14:paraId="502B8B27">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901" w:name="_Toc23964"/>
      <w:bookmarkStart w:id="902" w:name="_Toc23998"/>
      <w:bookmarkStart w:id="903" w:name="_Toc6173"/>
      <w:bookmarkStart w:id="904" w:name="_Toc21533"/>
      <w:bookmarkStart w:id="905" w:name="_Toc29634"/>
      <w:bookmarkStart w:id="906" w:name="_Toc4222"/>
      <w:r>
        <w:rPr>
          <w:rFonts w:ascii="宋体" w:eastAsia="宋体" w:cs="宋体"/>
          <w:b w:val="0"/>
          <w:color w:val="auto"/>
          <w:sz w:val="24"/>
          <w:szCs w:val="24"/>
        </w:rPr>
        <w:t>11.1.4 第四章：评标办法；</w:t>
      </w:r>
      <w:bookmarkEnd w:id="901"/>
      <w:bookmarkEnd w:id="902"/>
      <w:bookmarkEnd w:id="903"/>
      <w:bookmarkEnd w:id="904"/>
      <w:bookmarkEnd w:id="905"/>
      <w:bookmarkEnd w:id="906"/>
    </w:p>
    <w:p w14:paraId="7476E6D6">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907" w:name="_Toc18983"/>
      <w:bookmarkStart w:id="908" w:name="_Toc21373"/>
      <w:bookmarkStart w:id="909" w:name="_Toc16383"/>
      <w:bookmarkStart w:id="910" w:name="_Toc19313"/>
      <w:bookmarkStart w:id="911" w:name="_Toc29950"/>
      <w:bookmarkStart w:id="912" w:name="_Toc11564"/>
      <w:r>
        <w:rPr>
          <w:rFonts w:ascii="宋体" w:eastAsia="宋体" w:cs="宋体"/>
          <w:b w:val="0"/>
          <w:color w:val="auto"/>
          <w:sz w:val="24"/>
          <w:szCs w:val="24"/>
        </w:rPr>
        <w:t>11.1.5 第五章：投标人须知；</w:t>
      </w:r>
      <w:bookmarkEnd w:id="907"/>
      <w:bookmarkEnd w:id="908"/>
      <w:bookmarkEnd w:id="909"/>
      <w:bookmarkEnd w:id="910"/>
      <w:bookmarkEnd w:id="911"/>
      <w:bookmarkEnd w:id="912"/>
    </w:p>
    <w:p w14:paraId="4A52D620">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913" w:name="_Toc26657"/>
      <w:bookmarkStart w:id="914" w:name="_Toc20463"/>
      <w:bookmarkStart w:id="915" w:name="_Toc15359"/>
      <w:bookmarkStart w:id="916" w:name="_Toc14191"/>
      <w:bookmarkStart w:id="917" w:name="_Toc22766"/>
      <w:bookmarkStart w:id="918" w:name="_Toc26523"/>
      <w:r>
        <w:rPr>
          <w:rFonts w:ascii="宋体" w:eastAsia="宋体" w:cs="宋体"/>
          <w:b w:val="0"/>
          <w:color w:val="auto"/>
          <w:sz w:val="24"/>
          <w:szCs w:val="24"/>
        </w:rPr>
        <w:t>11.1.6 第六章：采购合同；</w:t>
      </w:r>
      <w:bookmarkEnd w:id="913"/>
      <w:bookmarkEnd w:id="914"/>
      <w:bookmarkEnd w:id="915"/>
      <w:bookmarkEnd w:id="916"/>
      <w:bookmarkEnd w:id="917"/>
      <w:bookmarkEnd w:id="918"/>
    </w:p>
    <w:p w14:paraId="17C6501E">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919" w:name="_Toc18262"/>
      <w:bookmarkStart w:id="920" w:name="_Toc29286"/>
      <w:bookmarkStart w:id="921" w:name="_Toc4249"/>
      <w:bookmarkStart w:id="922" w:name="_Toc7351"/>
      <w:bookmarkStart w:id="923" w:name="_Toc22260"/>
      <w:bookmarkStart w:id="924" w:name="_Toc19634"/>
      <w:r>
        <w:rPr>
          <w:rFonts w:ascii="宋体" w:eastAsia="宋体" w:cs="宋体"/>
          <w:b w:val="0"/>
          <w:color w:val="auto"/>
          <w:sz w:val="24"/>
          <w:szCs w:val="24"/>
        </w:rPr>
        <w:t>11.1.7 第七章：投标文件格式；</w:t>
      </w:r>
      <w:bookmarkEnd w:id="919"/>
      <w:bookmarkEnd w:id="920"/>
      <w:bookmarkEnd w:id="921"/>
      <w:bookmarkEnd w:id="922"/>
      <w:bookmarkEnd w:id="923"/>
      <w:bookmarkEnd w:id="924"/>
    </w:p>
    <w:p w14:paraId="2C5E57ED">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925" w:name="_Toc12258"/>
      <w:bookmarkStart w:id="926" w:name="_Toc29849"/>
      <w:bookmarkStart w:id="927" w:name="_Toc457"/>
      <w:bookmarkStart w:id="928" w:name="_Toc22450"/>
      <w:bookmarkStart w:id="929" w:name="_Toc8514"/>
      <w:bookmarkStart w:id="930" w:name="_Toc4618"/>
      <w:r>
        <w:rPr>
          <w:rFonts w:ascii="宋体" w:eastAsia="宋体" w:cs="宋体"/>
          <w:b w:val="0"/>
          <w:color w:val="auto"/>
          <w:sz w:val="24"/>
          <w:szCs w:val="24"/>
        </w:rPr>
        <w:t>11.1.8 采购人发布的答疑、补遗、补充通知等。</w:t>
      </w:r>
      <w:bookmarkEnd w:id="925"/>
      <w:bookmarkEnd w:id="926"/>
      <w:bookmarkEnd w:id="927"/>
      <w:bookmarkEnd w:id="928"/>
      <w:bookmarkEnd w:id="929"/>
      <w:bookmarkEnd w:id="930"/>
    </w:p>
    <w:p w14:paraId="331225DD">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931" w:name="_Toc613"/>
      <w:bookmarkStart w:id="932" w:name="_Toc29436"/>
      <w:bookmarkStart w:id="933" w:name="_Toc22044"/>
      <w:bookmarkStart w:id="934" w:name="_Toc24968"/>
      <w:bookmarkStart w:id="935" w:name="_Toc31510"/>
      <w:bookmarkStart w:id="936" w:name="_Toc31975"/>
      <w:r>
        <w:rPr>
          <w:rFonts w:ascii="宋体" w:eastAsia="宋体" w:cs="宋体"/>
          <w:b w:val="0"/>
          <w:color w:val="auto"/>
          <w:sz w:val="24"/>
          <w:szCs w:val="24"/>
        </w:rPr>
        <w:t>11.2 投标人应认真阅读磋商文件中所有的事项、格式、条件、条款和规范等要求。</w:t>
      </w:r>
      <w:bookmarkEnd w:id="931"/>
      <w:bookmarkEnd w:id="932"/>
      <w:bookmarkEnd w:id="933"/>
      <w:bookmarkEnd w:id="934"/>
      <w:bookmarkEnd w:id="935"/>
      <w:bookmarkEnd w:id="936"/>
    </w:p>
    <w:p w14:paraId="282EF8B1">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937" w:name="_Toc4703"/>
      <w:bookmarkStart w:id="938" w:name="_Toc25079"/>
      <w:bookmarkStart w:id="939" w:name="_Toc28539"/>
      <w:bookmarkStart w:id="940" w:name="_Toc6933"/>
      <w:bookmarkStart w:id="941" w:name="_Toc25508"/>
      <w:bookmarkStart w:id="942" w:name="_Toc25488"/>
      <w:r>
        <w:rPr>
          <w:rFonts w:ascii="宋体" w:eastAsia="宋体" w:cs="宋体"/>
          <w:b w:val="0"/>
          <w:color w:val="auto"/>
          <w:sz w:val="24"/>
          <w:szCs w:val="24"/>
        </w:rPr>
        <w:t>11.3 投标人应当按照磋商文件的要求编制投标文件。投标文件应对磋商文件提出的要求和条件作出实质性响应。</w:t>
      </w:r>
      <w:bookmarkEnd w:id="937"/>
      <w:bookmarkEnd w:id="938"/>
      <w:bookmarkEnd w:id="939"/>
      <w:bookmarkEnd w:id="940"/>
      <w:bookmarkEnd w:id="941"/>
      <w:bookmarkEnd w:id="942"/>
    </w:p>
    <w:p w14:paraId="29D7702A">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943" w:name="_Toc14731"/>
      <w:bookmarkStart w:id="944" w:name="_Toc27525"/>
      <w:bookmarkStart w:id="945" w:name="_Toc18191"/>
      <w:bookmarkStart w:id="946" w:name="_Toc24371"/>
      <w:bookmarkStart w:id="947" w:name="_Toc32228"/>
      <w:bookmarkStart w:id="948" w:name="_Toc3239"/>
      <w:r>
        <w:rPr>
          <w:rFonts w:ascii="宋体" w:eastAsia="宋体" w:cs="宋体"/>
          <w:b w:val="0"/>
          <w:color w:val="auto"/>
          <w:sz w:val="24"/>
          <w:szCs w:val="24"/>
        </w:rPr>
        <w:t>11.4 投标人获取磋商文件后，应仔细检查磋商文件的所有内容，如有残缺等问题</w:t>
      </w:r>
      <w:bookmarkEnd w:id="943"/>
      <w:bookmarkEnd w:id="944"/>
      <w:bookmarkEnd w:id="945"/>
      <w:bookmarkStart w:id="949" w:name="_Toc20523"/>
      <w:bookmarkStart w:id="950" w:name="_Toc16439"/>
      <w:bookmarkStart w:id="951" w:name="_Toc16294"/>
      <w:r>
        <w:rPr>
          <w:rFonts w:ascii="宋体" w:eastAsia="宋体" w:cs="宋体"/>
          <w:b w:val="0"/>
          <w:color w:val="auto"/>
          <w:sz w:val="24"/>
          <w:szCs w:val="24"/>
        </w:rPr>
        <w:t>应在获得磋商文件 3 日内向采购人或招标代理机构提出，否则，由此引起的损失由投标人自行承担。</w:t>
      </w:r>
      <w:bookmarkEnd w:id="946"/>
      <w:bookmarkEnd w:id="947"/>
      <w:bookmarkEnd w:id="948"/>
      <w:bookmarkEnd w:id="949"/>
      <w:bookmarkEnd w:id="950"/>
      <w:bookmarkEnd w:id="951"/>
    </w:p>
    <w:p w14:paraId="4A992301">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952" w:name="_Toc13912"/>
      <w:bookmarkStart w:id="953" w:name="_Toc30779"/>
      <w:bookmarkStart w:id="954" w:name="_Toc2190"/>
      <w:bookmarkStart w:id="955" w:name="_Toc15082"/>
      <w:bookmarkStart w:id="956" w:name="_Toc1561"/>
      <w:bookmarkStart w:id="957" w:name="_Toc22427"/>
      <w:r>
        <w:rPr>
          <w:rFonts w:ascii="宋体" w:eastAsia="宋体" w:cs="宋体"/>
          <w:b w:val="0"/>
          <w:color w:val="auto"/>
          <w:sz w:val="24"/>
          <w:szCs w:val="24"/>
        </w:rPr>
        <w:t>12. 答疑及磋商文件的澄清与修改</w:t>
      </w:r>
      <w:bookmarkEnd w:id="952"/>
      <w:bookmarkEnd w:id="953"/>
      <w:bookmarkEnd w:id="954"/>
      <w:bookmarkEnd w:id="955"/>
      <w:bookmarkEnd w:id="956"/>
      <w:bookmarkEnd w:id="957"/>
    </w:p>
    <w:p w14:paraId="1D557080">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958" w:name="_Toc29647"/>
      <w:bookmarkStart w:id="959" w:name="_Toc2457"/>
      <w:bookmarkStart w:id="960" w:name="_Toc24294"/>
      <w:bookmarkStart w:id="961" w:name="_Toc22477"/>
      <w:bookmarkStart w:id="962" w:name="_Toc8421"/>
      <w:bookmarkStart w:id="963" w:name="_Toc20308"/>
      <w:r>
        <w:rPr>
          <w:rFonts w:ascii="宋体" w:eastAsia="宋体" w:cs="宋体"/>
          <w:b w:val="0"/>
          <w:color w:val="auto"/>
          <w:sz w:val="24"/>
          <w:szCs w:val="24"/>
        </w:rPr>
        <w:t>12.1 投标人如果对磋商文件的其他任何内容有相关疑问，可以于投标人须知前附表列明的答疑接受时间前，以网上形式向采购人和招 标代理机构提出。</w:t>
      </w:r>
      <w:bookmarkEnd w:id="958"/>
      <w:bookmarkEnd w:id="959"/>
      <w:bookmarkEnd w:id="960"/>
      <w:bookmarkEnd w:id="961"/>
      <w:bookmarkEnd w:id="962"/>
      <w:bookmarkEnd w:id="963"/>
    </w:p>
    <w:p w14:paraId="13579D3D">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964" w:name="_Toc7892"/>
      <w:bookmarkStart w:id="965" w:name="_Toc21958"/>
      <w:bookmarkStart w:id="966" w:name="_Toc20897"/>
      <w:bookmarkStart w:id="967" w:name="_Toc23546"/>
      <w:bookmarkStart w:id="968" w:name="_Toc4866"/>
      <w:bookmarkStart w:id="969" w:name="_Toc10318"/>
      <w:r>
        <w:rPr>
          <w:rFonts w:ascii="宋体" w:eastAsia="宋体" w:cs="宋体"/>
          <w:b w:val="0"/>
          <w:color w:val="auto"/>
          <w:sz w:val="24"/>
          <w:szCs w:val="24"/>
        </w:rPr>
        <w:t>12.2 招标代理机构对磋商文件进行的澄清、更正或更改，将在网站上及时发布，该公告内容为磋商文件的组成部分，对投标人具有同样约束力效力。投标人应主动上网查询。采购人和代理机构不承担投标人未及时关注相关信息引发的相关责任。</w:t>
      </w:r>
      <w:bookmarkEnd w:id="964"/>
      <w:bookmarkEnd w:id="965"/>
      <w:bookmarkEnd w:id="966"/>
      <w:bookmarkEnd w:id="967"/>
      <w:bookmarkEnd w:id="968"/>
      <w:bookmarkEnd w:id="969"/>
    </w:p>
    <w:p w14:paraId="1F180FE4">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970" w:name="_Toc15122"/>
      <w:bookmarkStart w:id="971" w:name="_Toc27131"/>
      <w:bookmarkStart w:id="972" w:name="_Toc21879"/>
      <w:bookmarkStart w:id="973" w:name="_Toc12157"/>
      <w:bookmarkStart w:id="974" w:name="_Toc10136"/>
      <w:bookmarkStart w:id="975" w:name="_Toc19567"/>
      <w:r>
        <w:rPr>
          <w:rFonts w:ascii="宋体" w:eastAsia="宋体" w:cs="宋体"/>
          <w:b w:val="0"/>
          <w:color w:val="auto"/>
          <w:sz w:val="24"/>
          <w:szCs w:val="24"/>
        </w:rPr>
        <w:t>12.3 在投标截止时间前，采购人和招标代理机构可以视采购具体情况，延长投标 截止时间和开标时间，并在磋商文件要求提交投标文件的截止时间三日前，在网站上发布变更公告。在上述情况下，采购人和投标人在投标截止期方面的全部权力、责任和义务，将适用于延长后新的投标截止期。</w:t>
      </w:r>
      <w:bookmarkEnd w:id="970"/>
      <w:bookmarkEnd w:id="971"/>
      <w:bookmarkEnd w:id="972"/>
      <w:bookmarkEnd w:id="973"/>
      <w:bookmarkEnd w:id="974"/>
      <w:bookmarkEnd w:id="975"/>
    </w:p>
    <w:p w14:paraId="0AA93225">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976" w:name="_Toc16208"/>
      <w:bookmarkStart w:id="977" w:name="_Toc1084"/>
      <w:bookmarkStart w:id="978" w:name="_Toc4677"/>
      <w:bookmarkStart w:id="979" w:name="_Toc13822"/>
      <w:bookmarkStart w:id="980" w:name="_Toc7371"/>
      <w:bookmarkStart w:id="981" w:name="_Toc15626"/>
      <w:r>
        <w:rPr>
          <w:rFonts w:ascii="宋体" w:eastAsia="宋体" w:cs="宋体"/>
          <w:b w:val="0"/>
          <w:color w:val="auto"/>
          <w:sz w:val="24"/>
          <w:szCs w:val="24"/>
        </w:rPr>
        <w:t>12.4 特殊情况下，采购人和招标代理机构发布澄清、更正或更改公告后，征得投标人同意，可不改变投标截止时间和开标时间。</w:t>
      </w:r>
      <w:bookmarkEnd w:id="976"/>
      <w:bookmarkEnd w:id="977"/>
      <w:bookmarkEnd w:id="978"/>
      <w:bookmarkEnd w:id="979"/>
      <w:bookmarkEnd w:id="980"/>
      <w:bookmarkEnd w:id="981"/>
    </w:p>
    <w:p w14:paraId="6260D182">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eastAsia="宋体" w:cs="宋体"/>
          <w:color w:val="auto"/>
          <w:sz w:val="24"/>
          <w:szCs w:val="24"/>
        </w:rPr>
      </w:pPr>
      <w:bookmarkStart w:id="982" w:name="三．投标文件的编制"/>
      <w:bookmarkEnd w:id="982"/>
      <w:bookmarkStart w:id="983" w:name="_Toc25175"/>
      <w:bookmarkStart w:id="984" w:name="_Toc28679"/>
      <w:bookmarkStart w:id="985" w:name="_Toc32527"/>
      <w:bookmarkStart w:id="986" w:name="_Toc14723"/>
      <w:bookmarkStart w:id="987" w:name="_Toc24770"/>
      <w:bookmarkStart w:id="988" w:name="_Toc8076"/>
      <w:r>
        <w:rPr>
          <w:rFonts w:ascii="宋体" w:eastAsia="宋体" w:cs="宋体"/>
          <w:color w:val="auto"/>
          <w:sz w:val="24"/>
          <w:szCs w:val="24"/>
        </w:rPr>
        <w:t>三．投标文件的编制</w:t>
      </w:r>
      <w:bookmarkEnd w:id="983"/>
      <w:bookmarkEnd w:id="984"/>
      <w:bookmarkEnd w:id="985"/>
      <w:bookmarkEnd w:id="986"/>
      <w:bookmarkEnd w:id="987"/>
      <w:bookmarkEnd w:id="988"/>
    </w:p>
    <w:p w14:paraId="42C313A3">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989" w:name="_Toc13197"/>
      <w:bookmarkStart w:id="990" w:name="_Toc29673"/>
      <w:bookmarkStart w:id="991" w:name="_Toc5194"/>
      <w:bookmarkStart w:id="992" w:name="_Toc30290"/>
      <w:bookmarkStart w:id="993" w:name="_Toc11020"/>
      <w:bookmarkStart w:id="994" w:name="_Toc91"/>
      <w:r>
        <w:rPr>
          <w:rFonts w:ascii="宋体" w:eastAsia="宋体" w:cs="宋体"/>
          <w:b w:val="0"/>
          <w:color w:val="auto"/>
          <w:sz w:val="24"/>
          <w:szCs w:val="24"/>
        </w:rPr>
        <w:t>13.投标文件构成与格式</w:t>
      </w:r>
      <w:bookmarkEnd w:id="989"/>
      <w:bookmarkEnd w:id="990"/>
      <w:bookmarkEnd w:id="991"/>
      <w:bookmarkEnd w:id="992"/>
      <w:bookmarkEnd w:id="993"/>
      <w:bookmarkEnd w:id="994"/>
    </w:p>
    <w:p w14:paraId="717D0AE0">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995" w:name="_Toc21821"/>
      <w:bookmarkStart w:id="996" w:name="_Toc22161"/>
      <w:bookmarkStart w:id="997" w:name="_Toc23463"/>
      <w:bookmarkStart w:id="998" w:name="_Toc15517"/>
      <w:bookmarkStart w:id="999" w:name="_Toc21311"/>
      <w:bookmarkStart w:id="1000" w:name="_Toc23873"/>
      <w:r>
        <w:rPr>
          <w:rFonts w:ascii="宋体" w:eastAsia="宋体" w:cs="宋体"/>
          <w:b w:val="0"/>
          <w:color w:val="auto"/>
          <w:sz w:val="24"/>
          <w:szCs w:val="24"/>
        </w:rPr>
        <w:t>13.1 投标文件是对磋商文件的实质性响应及承诺文件。</w:t>
      </w:r>
      <w:bookmarkEnd w:id="995"/>
      <w:bookmarkEnd w:id="996"/>
      <w:bookmarkEnd w:id="997"/>
      <w:bookmarkEnd w:id="998"/>
      <w:bookmarkEnd w:id="999"/>
      <w:bookmarkEnd w:id="1000"/>
    </w:p>
    <w:p w14:paraId="6AC8B6B5">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001" w:name="_Toc30826"/>
      <w:bookmarkStart w:id="1002" w:name="_Toc8985"/>
      <w:bookmarkStart w:id="1003" w:name="_Toc31078"/>
      <w:bookmarkStart w:id="1004" w:name="_Toc248"/>
      <w:bookmarkStart w:id="1005" w:name="_Toc29274"/>
      <w:bookmarkStart w:id="1006" w:name="_Toc2636"/>
      <w:r>
        <w:rPr>
          <w:rFonts w:ascii="宋体" w:eastAsia="宋体" w:cs="宋体"/>
          <w:b w:val="0"/>
          <w:color w:val="auto"/>
          <w:sz w:val="24"/>
          <w:szCs w:val="24"/>
        </w:rPr>
        <w:t>13.2 除非注明“投标人可自行制作格式”，投标文件应使用磋商文件提供的格式。</w:t>
      </w:r>
      <w:bookmarkEnd w:id="1001"/>
      <w:bookmarkEnd w:id="1002"/>
      <w:bookmarkEnd w:id="1003"/>
      <w:bookmarkEnd w:id="1004"/>
      <w:bookmarkEnd w:id="1005"/>
      <w:bookmarkEnd w:id="1006"/>
    </w:p>
    <w:p w14:paraId="6FFA5171">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007" w:name="_Toc30256"/>
      <w:bookmarkStart w:id="1008" w:name="_Toc641"/>
      <w:bookmarkStart w:id="1009" w:name="_Toc7190"/>
      <w:bookmarkStart w:id="1010" w:name="_Toc14565"/>
      <w:bookmarkStart w:id="1011" w:name="_Toc32129"/>
      <w:bookmarkStart w:id="1012" w:name="_Toc13076"/>
      <w:r>
        <w:rPr>
          <w:rFonts w:ascii="宋体" w:eastAsia="宋体" w:cs="宋体"/>
          <w:b w:val="0"/>
          <w:color w:val="auto"/>
          <w:sz w:val="24"/>
          <w:szCs w:val="24"/>
        </w:rPr>
        <w:t>13.3 除专用术语外，投标文件以及投标人与采购人就有关投标的往来函电均应使用中文。投标人提交的支持性文件和印制的文件可以用另一种语言，但相应内容应翻译 成中文，对不同文字文本投标文件的解释发生异议的，以中文文本为准。</w:t>
      </w:r>
      <w:bookmarkEnd w:id="1007"/>
      <w:bookmarkEnd w:id="1008"/>
      <w:bookmarkEnd w:id="1009"/>
      <w:bookmarkEnd w:id="1010"/>
      <w:bookmarkEnd w:id="1011"/>
      <w:bookmarkEnd w:id="1012"/>
    </w:p>
    <w:p w14:paraId="412BE7D7">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013" w:name="_Toc2897"/>
      <w:bookmarkStart w:id="1014" w:name="_Toc19660"/>
      <w:bookmarkStart w:id="1015" w:name="_Toc7550"/>
      <w:bookmarkStart w:id="1016" w:name="_Toc3527"/>
      <w:bookmarkStart w:id="1017" w:name="_Toc1259"/>
      <w:bookmarkStart w:id="1018" w:name="_Toc8127"/>
      <w:r>
        <w:rPr>
          <w:rFonts w:ascii="宋体" w:eastAsia="宋体" w:cs="宋体"/>
          <w:b w:val="0"/>
          <w:color w:val="auto"/>
          <w:sz w:val="24"/>
          <w:szCs w:val="24"/>
        </w:rPr>
        <w:t>13.4 除非磋商文件另有规定，投标文件应使用中华人民共和国法定计量单位。</w:t>
      </w:r>
      <w:bookmarkEnd w:id="1013"/>
      <w:bookmarkEnd w:id="1014"/>
      <w:bookmarkEnd w:id="1015"/>
      <w:bookmarkEnd w:id="1016"/>
      <w:bookmarkEnd w:id="1017"/>
      <w:bookmarkEnd w:id="1018"/>
    </w:p>
    <w:p w14:paraId="7B45499D">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019" w:name="_Toc23657"/>
      <w:bookmarkStart w:id="1020" w:name="_Toc25561"/>
      <w:bookmarkStart w:id="1021" w:name="_Toc5751"/>
      <w:bookmarkStart w:id="1022" w:name="_Toc29236"/>
      <w:bookmarkStart w:id="1023" w:name="_Toc2951"/>
      <w:bookmarkStart w:id="1024" w:name="_Toc9129"/>
      <w:r>
        <w:rPr>
          <w:rFonts w:ascii="宋体" w:eastAsia="宋体" w:cs="宋体"/>
          <w:b w:val="0"/>
          <w:color w:val="auto"/>
          <w:sz w:val="24"/>
          <w:szCs w:val="24"/>
        </w:rPr>
        <w:t>13.5除非磋商文件另有规定，投标文件应使用人民币填报所有报价。允许以多种货币报价的，或涉及合同金额等计算的，均按照中国银行在开标日公布的汇率中间价换算成人民币。</w:t>
      </w:r>
      <w:bookmarkEnd w:id="1019"/>
      <w:bookmarkEnd w:id="1020"/>
      <w:bookmarkEnd w:id="1021"/>
      <w:bookmarkEnd w:id="1022"/>
      <w:bookmarkEnd w:id="1023"/>
      <w:bookmarkEnd w:id="1024"/>
    </w:p>
    <w:p w14:paraId="451FA39D">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025" w:name="_Toc24253"/>
      <w:bookmarkStart w:id="1026" w:name="_Toc29746"/>
      <w:bookmarkStart w:id="1027" w:name="_Toc4226"/>
      <w:bookmarkStart w:id="1028" w:name="_Toc14913"/>
      <w:bookmarkStart w:id="1029" w:name="_Toc7834"/>
      <w:bookmarkStart w:id="1030" w:name="_Toc9766"/>
      <w:r>
        <w:rPr>
          <w:rFonts w:ascii="宋体" w:eastAsia="宋体" w:cs="宋体"/>
          <w:b w:val="0"/>
          <w:color w:val="auto"/>
          <w:sz w:val="24"/>
          <w:szCs w:val="24"/>
        </w:rPr>
        <w:t>13.6 投标人资质证书（或资格证明）处于换证、升级、变更等期间，除非法律法规或发证机构有书面材料明确表明投标人资质（或资格)有效，否则一律不予认可。</w:t>
      </w:r>
      <w:bookmarkEnd w:id="1025"/>
      <w:bookmarkEnd w:id="1026"/>
      <w:bookmarkEnd w:id="1027"/>
      <w:bookmarkEnd w:id="1028"/>
      <w:bookmarkEnd w:id="1029"/>
      <w:bookmarkEnd w:id="1030"/>
    </w:p>
    <w:p w14:paraId="243A1CB0">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031" w:name="_Toc27218"/>
      <w:bookmarkStart w:id="1032" w:name="_Toc108"/>
      <w:bookmarkStart w:id="1033" w:name="_Toc17653"/>
      <w:bookmarkStart w:id="1034" w:name="_Toc25391"/>
      <w:bookmarkStart w:id="1035" w:name="_Toc30999"/>
      <w:bookmarkStart w:id="1036" w:name="_Toc16200"/>
      <w:r>
        <w:rPr>
          <w:rFonts w:ascii="宋体" w:eastAsia="宋体" w:cs="宋体"/>
          <w:b w:val="0"/>
          <w:color w:val="auto"/>
          <w:sz w:val="24"/>
          <w:szCs w:val="24"/>
        </w:rPr>
        <w:t>13.7 纸质投标文件（如有）应编制连续页码，除特殊规格的图纸或方案、图片资 料等外，均应按 A4 规格制作，为节约和环保，建议纸质投标文件双面打印。</w:t>
      </w:r>
      <w:bookmarkEnd w:id="1031"/>
      <w:bookmarkEnd w:id="1032"/>
      <w:bookmarkEnd w:id="1033"/>
      <w:bookmarkEnd w:id="1034"/>
      <w:bookmarkEnd w:id="1035"/>
      <w:bookmarkEnd w:id="1036"/>
    </w:p>
    <w:p w14:paraId="1752D2BC">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037" w:name="_Toc504"/>
      <w:bookmarkStart w:id="1038" w:name="_Toc26534"/>
      <w:bookmarkStart w:id="1039" w:name="_Toc4582"/>
      <w:bookmarkStart w:id="1040" w:name="_Toc29650"/>
      <w:bookmarkStart w:id="1041" w:name="_Toc17067"/>
      <w:bookmarkStart w:id="1042" w:name="_Toc15161"/>
      <w:r>
        <w:rPr>
          <w:rFonts w:ascii="宋体" w:eastAsia="宋体" w:cs="宋体"/>
          <w:b w:val="0"/>
          <w:color w:val="auto"/>
          <w:sz w:val="24"/>
          <w:szCs w:val="24"/>
        </w:rPr>
        <w:t>13.8 电报、电话、传真形式的投标概不接受。</w:t>
      </w:r>
      <w:bookmarkEnd w:id="1037"/>
      <w:bookmarkEnd w:id="1038"/>
      <w:bookmarkEnd w:id="1039"/>
      <w:bookmarkEnd w:id="1040"/>
      <w:bookmarkEnd w:id="1041"/>
      <w:bookmarkEnd w:id="1042"/>
    </w:p>
    <w:p w14:paraId="74415F8A">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043" w:name="_Toc411"/>
      <w:bookmarkStart w:id="1044" w:name="_Toc20510"/>
      <w:bookmarkStart w:id="1045" w:name="_Toc1823"/>
      <w:bookmarkStart w:id="1046" w:name="_Toc10855"/>
      <w:bookmarkStart w:id="1047" w:name="_Toc31185"/>
      <w:bookmarkStart w:id="1048" w:name="_Toc15938"/>
      <w:r>
        <w:rPr>
          <w:rFonts w:ascii="宋体" w:eastAsia="宋体" w:cs="宋体"/>
          <w:b w:val="0"/>
          <w:color w:val="auto"/>
          <w:sz w:val="24"/>
          <w:szCs w:val="24"/>
        </w:rPr>
        <w:t>13.9 采购人一律不予退还投标人的投标文件。</w:t>
      </w:r>
      <w:bookmarkEnd w:id="1043"/>
      <w:bookmarkEnd w:id="1044"/>
      <w:bookmarkEnd w:id="1045"/>
      <w:bookmarkEnd w:id="1046"/>
      <w:bookmarkEnd w:id="1047"/>
      <w:bookmarkEnd w:id="1048"/>
    </w:p>
    <w:p w14:paraId="412684C1">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049" w:name="_Toc32011"/>
      <w:bookmarkStart w:id="1050" w:name="_Toc17525"/>
      <w:bookmarkStart w:id="1051" w:name="_Toc31605"/>
      <w:bookmarkStart w:id="1052" w:name="_Toc16899"/>
      <w:bookmarkStart w:id="1053" w:name="_Toc6211"/>
      <w:bookmarkStart w:id="1054" w:name="_Toc29398"/>
      <w:r>
        <w:rPr>
          <w:rFonts w:ascii="宋体" w:eastAsia="宋体" w:cs="宋体"/>
          <w:b w:val="0"/>
          <w:color w:val="auto"/>
          <w:sz w:val="24"/>
          <w:szCs w:val="24"/>
        </w:rPr>
        <w:t>14.报价</w:t>
      </w:r>
      <w:bookmarkEnd w:id="1049"/>
      <w:bookmarkEnd w:id="1050"/>
      <w:bookmarkEnd w:id="1051"/>
      <w:bookmarkEnd w:id="1052"/>
      <w:bookmarkEnd w:id="1053"/>
      <w:bookmarkEnd w:id="1054"/>
    </w:p>
    <w:p w14:paraId="3F197549">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055" w:name="_Toc27555"/>
      <w:bookmarkStart w:id="1056" w:name="_Toc5296"/>
      <w:bookmarkStart w:id="1057" w:name="_Toc2308"/>
      <w:bookmarkStart w:id="1058" w:name="_Toc2774"/>
      <w:bookmarkStart w:id="1059" w:name="_Toc3721"/>
      <w:bookmarkStart w:id="1060" w:name="_Toc8617"/>
      <w:r>
        <w:rPr>
          <w:rFonts w:ascii="宋体" w:eastAsia="宋体" w:cs="宋体"/>
          <w:b w:val="0"/>
          <w:color w:val="auto"/>
          <w:sz w:val="24"/>
          <w:szCs w:val="24"/>
        </w:rPr>
        <w:t>14.1 投标人应以“包”为报价的基本单位。若整个需求分为若干包，则投标人可选择其中的部分或所有包报价。包内所有项目均应报价（免费赠送的除外），否则将导致投标无效。</w:t>
      </w:r>
      <w:bookmarkEnd w:id="1055"/>
      <w:bookmarkEnd w:id="1056"/>
      <w:bookmarkEnd w:id="1057"/>
      <w:bookmarkEnd w:id="1058"/>
      <w:bookmarkEnd w:id="1059"/>
      <w:bookmarkEnd w:id="1060"/>
    </w:p>
    <w:p w14:paraId="47F46DD7">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061" w:name="_Toc8469"/>
      <w:bookmarkStart w:id="1062" w:name="_Toc13764"/>
      <w:bookmarkStart w:id="1063" w:name="_Toc6141"/>
      <w:bookmarkStart w:id="1064" w:name="_Toc13611"/>
      <w:bookmarkStart w:id="1065" w:name="_Toc25802"/>
      <w:bookmarkStart w:id="1066" w:name="_Toc28123"/>
      <w:r>
        <w:rPr>
          <w:rFonts w:ascii="宋体" w:eastAsia="宋体" w:cs="宋体"/>
          <w:b w:val="0"/>
          <w:color w:val="auto"/>
          <w:sz w:val="24"/>
          <w:szCs w:val="24"/>
        </w:rPr>
        <w:t>14.2 投标人的报价应包含所有服务、保险、税费、和交付后约定期限内免费维保等工作所发生的一切应有费用。投标报价为签订合同的依据。</w:t>
      </w:r>
      <w:bookmarkEnd w:id="1061"/>
      <w:bookmarkEnd w:id="1062"/>
      <w:bookmarkEnd w:id="1063"/>
      <w:bookmarkEnd w:id="1064"/>
      <w:bookmarkEnd w:id="1065"/>
      <w:bookmarkEnd w:id="1066"/>
    </w:p>
    <w:p w14:paraId="409DBEFA">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067" w:name="_Toc13899"/>
      <w:bookmarkStart w:id="1068" w:name="_Toc11252"/>
      <w:bookmarkStart w:id="1069" w:name="_Toc9366"/>
      <w:bookmarkStart w:id="1070" w:name="_Toc10291"/>
      <w:bookmarkStart w:id="1071" w:name="_Toc8100"/>
      <w:bookmarkStart w:id="1072" w:name="_Toc12016"/>
      <w:r>
        <w:rPr>
          <w:rFonts w:ascii="宋体" w:eastAsia="宋体" w:cs="宋体"/>
          <w:b w:val="0"/>
          <w:color w:val="auto"/>
          <w:sz w:val="24"/>
          <w:szCs w:val="24"/>
        </w:rPr>
        <w:t>14.3 投标人应在投标文件中注明拟提服务物的单价明细和总价。</w:t>
      </w:r>
      <w:bookmarkEnd w:id="1067"/>
      <w:bookmarkEnd w:id="1068"/>
      <w:bookmarkEnd w:id="1069"/>
      <w:bookmarkEnd w:id="1070"/>
      <w:bookmarkEnd w:id="1071"/>
      <w:bookmarkEnd w:id="1072"/>
    </w:p>
    <w:p w14:paraId="5A9D20C6">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073" w:name="_Toc10772"/>
      <w:bookmarkStart w:id="1074" w:name="_Toc7684"/>
      <w:bookmarkStart w:id="1075" w:name="_Toc10173"/>
      <w:bookmarkStart w:id="1076" w:name="_Toc28111"/>
      <w:bookmarkStart w:id="1077" w:name="_Toc12890"/>
      <w:bookmarkStart w:id="1078" w:name="_Toc32384"/>
      <w:r>
        <w:rPr>
          <w:rFonts w:ascii="宋体" w:eastAsia="宋体" w:cs="宋体"/>
          <w:b w:val="0"/>
          <w:color w:val="auto"/>
          <w:sz w:val="24"/>
          <w:szCs w:val="24"/>
        </w:rPr>
        <w:t>14.4 除非磋商文件另有规定，每一包只允许有一个最终报价，任何有选择的报价或替代方案将导致投标无效。</w:t>
      </w:r>
      <w:bookmarkEnd w:id="1073"/>
      <w:bookmarkEnd w:id="1074"/>
      <w:bookmarkEnd w:id="1075"/>
      <w:bookmarkEnd w:id="1076"/>
      <w:bookmarkEnd w:id="1077"/>
      <w:bookmarkEnd w:id="1078"/>
    </w:p>
    <w:p w14:paraId="6CDF6164">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079" w:name="_Toc27922"/>
      <w:bookmarkStart w:id="1080" w:name="_Toc16861"/>
      <w:bookmarkStart w:id="1081" w:name="_Toc8920"/>
      <w:bookmarkStart w:id="1082" w:name="_Toc23858"/>
      <w:bookmarkStart w:id="1083" w:name="_Toc661"/>
      <w:bookmarkStart w:id="1084" w:name="_Toc11998"/>
      <w:r>
        <w:rPr>
          <w:rFonts w:ascii="宋体" w:eastAsia="宋体" w:cs="宋体"/>
          <w:b w:val="0"/>
          <w:color w:val="auto"/>
          <w:sz w:val="24"/>
          <w:szCs w:val="24"/>
        </w:rPr>
        <w:t>14.5 采购人不建议投标人采用总价优惠或以总价百分比优惠的方式进行投标报价，其优惠可直接计算并体现在各项投标报价的单价中。</w:t>
      </w:r>
      <w:bookmarkEnd w:id="1079"/>
      <w:bookmarkEnd w:id="1080"/>
      <w:bookmarkEnd w:id="1081"/>
      <w:bookmarkEnd w:id="1082"/>
      <w:bookmarkEnd w:id="1083"/>
      <w:bookmarkEnd w:id="1084"/>
    </w:p>
    <w:p w14:paraId="24F92FE9">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085" w:name="_Toc24981"/>
      <w:bookmarkStart w:id="1086" w:name="_Toc2405"/>
      <w:bookmarkStart w:id="1087" w:name="_Toc12753"/>
      <w:bookmarkStart w:id="1088" w:name="_Toc25124"/>
      <w:bookmarkStart w:id="1089" w:name="_Toc14975"/>
      <w:bookmarkStart w:id="1090" w:name="_Toc5897"/>
      <w:r>
        <w:rPr>
          <w:rFonts w:ascii="宋体" w:eastAsia="宋体" w:cs="宋体"/>
          <w:b w:val="0"/>
          <w:color w:val="auto"/>
          <w:sz w:val="24"/>
          <w:szCs w:val="24"/>
        </w:rPr>
        <w:t>14.6 除政策性文件规定以外，投标人所报价格在合同实施期间不因市场变化因素而变动。</w:t>
      </w:r>
      <w:bookmarkEnd w:id="1085"/>
      <w:bookmarkEnd w:id="1086"/>
      <w:bookmarkEnd w:id="1087"/>
      <w:bookmarkEnd w:id="1088"/>
      <w:bookmarkEnd w:id="1089"/>
      <w:bookmarkEnd w:id="1090"/>
    </w:p>
    <w:p w14:paraId="04C11019">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091" w:name="_Toc26920"/>
      <w:bookmarkStart w:id="1092" w:name="_Toc16953"/>
      <w:bookmarkStart w:id="1093" w:name="_Toc4345"/>
      <w:bookmarkStart w:id="1094" w:name="_Toc7059"/>
      <w:bookmarkStart w:id="1095" w:name="_Toc8134"/>
      <w:bookmarkStart w:id="1096" w:name="_Toc8168"/>
      <w:r>
        <w:rPr>
          <w:rFonts w:ascii="宋体" w:eastAsia="宋体" w:cs="宋体"/>
          <w:b w:val="0"/>
          <w:color w:val="auto"/>
          <w:sz w:val="24"/>
          <w:szCs w:val="24"/>
        </w:rPr>
        <w:t>15.投标内容填写及说明</w:t>
      </w:r>
      <w:bookmarkEnd w:id="1091"/>
      <w:bookmarkEnd w:id="1092"/>
      <w:bookmarkEnd w:id="1093"/>
      <w:bookmarkEnd w:id="1094"/>
      <w:bookmarkEnd w:id="1095"/>
      <w:bookmarkEnd w:id="1096"/>
    </w:p>
    <w:p w14:paraId="772FB4A6">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097" w:name="_Toc26562"/>
      <w:bookmarkStart w:id="1098" w:name="_Toc18587"/>
      <w:bookmarkStart w:id="1099" w:name="_Toc4561"/>
      <w:bookmarkStart w:id="1100" w:name="_Toc16850"/>
      <w:bookmarkStart w:id="1101" w:name="_Toc5610"/>
      <w:bookmarkStart w:id="1102" w:name="_Toc21997"/>
      <w:r>
        <w:rPr>
          <w:rFonts w:ascii="宋体" w:eastAsia="宋体" w:cs="宋体"/>
          <w:b w:val="0"/>
          <w:color w:val="auto"/>
          <w:sz w:val="24"/>
          <w:szCs w:val="24"/>
        </w:rPr>
        <w:t>15.1 投标文件须对磋商文件载明的投标资格、技术、资信、服务、报价等全部要求和条件做出实质性和完整的响应，如果投标文件填报的内容资料不详，或没有提供招标文件中所要求的全部资料、证明及数据，将导致投标无效。</w:t>
      </w:r>
      <w:bookmarkEnd w:id="1097"/>
      <w:bookmarkEnd w:id="1098"/>
      <w:bookmarkEnd w:id="1099"/>
      <w:bookmarkEnd w:id="1100"/>
      <w:bookmarkEnd w:id="1101"/>
      <w:bookmarkEnd w:id="1102"/>
    </w:p>
    <w:p w14:paraId="3F95777B">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103" w:name="_Toc17944"/>
      <w:bookmarkStart w:id="1104" w:name="_Toc15805"/>
      <w:bookmarkStart w:id="1105" w:name="_Toc3957"/>
      <w:bookmarkStart w:id="1106" w:name="_Toc26349"/>
      <w:bookmarkStart w:id="1107" w:name="_Toc20266"/>
      <w:bookmarkStart w:id="1108" w:name="_Toc19740"/>
      <w:r>
        <w:rPr>
          <w:rFonts w:ascii="宋体" w:eastAsia="宋体" w:cs="宋体"/>
          <w:b w:val="0"/>
          <w:color w:val="auto"/>
          <w:sz w:val="24"/>
          <w:szCs w:val="24"/>
        </w:rPr>
        <w:t>15.2 投标人应在投标文件中提交磋商文件要求的有关证明文件（扫描或影印件上传），作为其投标文件的一部分。</w:t>
      </w:r>
      <w:bookmarkEnd w:id="1103"/>
      <w:bookmarkEnd w:id="1104"/>
      <w:bookmarkEnd w:id="1105"/>
      <w:bookmarkEnd w:id="1106"/>
      <w:bookmarkEnd w:id="1107"/>
      <w:bookmarkEnd w:id="1108"/>
    </w:p>
    <w:p w14:paraId="058CD1C4">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109" w:name="_Toc13525"/>
      <w:bookmarkStart w:id="1110" w:name="_Toc4640"/>
      <w:bookmarkStart w:id="1111" w:name="_Toc17827"/>
      <w:bookmarkStart w:id="1112" w:name="_Toc30738"/>
      <w:bookmarkStart w:id="1113" w:name="_Toc21128"/>
      <w:bookmarkStart w:id="1114" w:name="_Toc28841"/>
      <w:r>
        <w:rPr>
          <w:rFonts w:ascii="宋体" w:eastAsia="宋体" w:cs="宋体"/>
          <w:b w:val="0"/>
          <w:color w:val="auto"/>
          <w:sz w:val="24"/>
          <w:szCs w:val="24"/>
        </w:rPr>
        <w:t>15.3 投标人应在投标文件中提交（以扫描件或影印件上传）磋商文件要求的所有货物的合格性以及符合磋商文件规定的证明文件（可以是手册、图纸和资料）等，并作为其投标文件的一部分。</w:t>
      </w:r>
      <w:bookmarkEnd w:id="1109"/>
      <w:bookmarkEnd w:id="1110"/>
      <w:bookmarkEnd w:id="1111"/>
      <w:bookmarkEnd w:id="1112"/>
      <w:bookmarkEnd w:id="1113"/>
      <w:bookmarkEnd w:id="1114"/>
    </w:p>
    <w:p w14:paraId="36562CA3">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115" w:name="_Toc31743"/>
      <w:bookmarkStart w:id="1116" w:name="_Toc9669"/>
      <w:bookmarkStart w:id="1117" w:name="_Toc32525"/>
      <w:bookmarkStart w:id="1118" w:name="_Toc8066"/>
      <w:bookmarkStart w:id="1119" w:name="_Toc1826"/>
      <w:bookmarkStart w:id="1120" w:name="_Toc11451"/>
      <w:r>
        <w:rPr>
          <w:rFonts w:ascii="宋体" w:eastAsia="宋体" w:cs="宋体"/>
          <w:b w:val="0"/>
          <w:color w:val="auto"/>
          <w:sz w:val="24"/>
          <w:szCs w:val="24"/>
        </w:rPr>
        <w:t>15.3.1 货物主要性能（内容）的详细描述；</w:t>
      </w:r>
      <w:bookmarkEnd w:id="1115"/>
      <w:bookmarkEnd w:id="1116"/>
      <w:bookmarkEnd w:id="1117"/>
      <w:bookmarkEnd w:id="1118"/>
      <w:bookmarkEnd w:id="1119"/>
      <w:bookmarkEnd w:id="1120"/>
    </w:p>
    <w:p w14:paraId="6705D67C">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121" w:name="_Toc24948"/>
      <w:bookmarkStart w:id="1122" w:name="_Toc8642"/>
      <w:bookmarkStart w:id="1123" w:name="_Toc32269"/>
      <w:bookmarkStart w:id="1124" w:name="_Toc15994"/>
      <w:bookmarkStart w:id="1125" w:name="_Toc29213"/>
      <w:bookmarkStart w:id="1126" w:name="_Toc5912"/>
      <w:r>
        <w:rPr>
          <w:rFonts w:ascii="宋体" w:eastAsia="宋体" w:cs="宋体"/>
          <w:b w:val="0"/>
          <w:color w:val="auto"/>
          <w:sz w:val="24"/>
          <w:szCs w:val="24"/>
        </w:rPr>
        <w:t>15.3.2 保证所投货物正常、安全、连续运行期间所需的所有备品、备件及专用工具的详细清单。</w:t>
      </w:r>
      <w:bookmarkEnd w:id="1121"/>
      <w:bookmarkEnd w:id="1122"/>
      <w:bookmarkEnd w:id="1123"/>
      <w:bookmarkEnd w:id="1124"/>
      <w:bookmarkEnd w:id="1125"/>
      <w:bookmarkEnd w:id="1126"/>
    </w:p>
    <w:p w14:paraId="1EE1B263">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127" w:name="_Toc3231"/>
      <w:bookmarkStart w:id="1128" w:name="_Toc13875"/>
      <w:bookmarkStart w:id="1129" w:name="_Toc14556"/>
      <w:bookmarkStart w:id="1130" w:name="_Toc19401"/>
      <w:bookmarkStart w:id="1131" w:name="_Toc9394"/>
      <w:bookmarkStart w:id="1132" w:name="_Toc1951"/>
      <w:r>
        <w:rPr>
          <w:rFonts w:ascii="宋体" w:eastAsia="宋体" w:cs="宋体"/>
          <w:b w:val="0"/>
          <w:color w:val="auto"/>
          <w:sz w:val="24"/>
          <w:szCs w:val="24"/>
        </w:rPr>
        <w:t>15.4 投标文件应编排有序、内容齐全、不得任意涂改或增删。如有错漏处必须修改，应在修改处加盖投标人公章。</w:t>
      </w:r>
      <w:bookmarkEnd w:id="1127"/>
      <w:bookmarkEnd w:id="1128"/>
      <w:bookmarkEnd w:id="1129"/>
      <w:bookmarkEnd w:id="1130"/>
      <w:bookmarkEnd w:id="1131"/>
      <w:bookmarkEnd w:id="1132"/>
    </w:p>
    <w:p w14:paraId="4D72CD67">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133" w:name="_Toc21432"/>
      <w:bookmarkStart w:id="1134" w:name="_Toc27800"/>
      <w:bookmarkStart w:id="1135" w:name="_Toc15174"/>
      <w:bookmarkStart w:id="1136" w:name="_Toc31642"/>
      <w:bookmarkStart w:id="1137" w:name="_Toc25792"/>
      <w:bookmarkStart w:id="1138" w:name="_Toc14637"/>
      <w:r>
        <w:rPr>
          <w:rFonts w:ascii="宋体" w:eastAsia="宋体" w:cs="宋体"/>
          <w:b w:val="0"/>
          <w:color w:val="auto"/>
          <w:sz w:val="24"/>
          <w:szCs w:val="24"/>
        </w:rPr>
        <w:t>16.投标保证金</w:t>
      </w:r>
      <w:bookmarkEnd w:id="1133"/>
      <w:bookmarkEnd w:id="1134"/>
      <w:bookmarkEnd w:id="1135"/>
      <w:r>
        <w:rPr>
          <w:rFonts w:ascii="宋体" w:eastAsia="宋体" w:cs="宋体"/>
          <w:b w:val="0"/>
          <w:color w:val="auto"/>
          <w:sz w:val="24"/>
          <w:szCs w:val="24"/>
        </w:rPr>
        <w:t>（无）</w:t>
      </w:r>
      <w:bookmarkEnd w:id="1136"/>
      <w:bookmarkEnd w:id="1137"/>
      <w:bookmarkEnd w:id="1138"/>
    </w:p>
    <w:p w14:paraId="18A2C958">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139" w:name="_Toc30566"/>
      <w:bookmarkStart w:id="1140" w:name="_Toc30950"/>
      <w:bookmarkStart w:id="1141" w:name="_Toc23084"/>
      <w:bookmarkStart w:id="1142" w:name="_Toc17146"/>
      <w:bookmarkStart w:id="1143" w:name="_Toc21735"/>
      <w:bookmarkStart w:id="1144" w:name="_Toc30784"/>
      <w:r>
        <w:rPr>
          <w:rFonts w:ascii="宋体" w:eastAsia="宋体" w:cs="宋体"/>
          <w:b w:val="0"/>
          <w:color w:val="auto"/>
          <w:sz w:val="24"/>
          <w:szCs w:val="24"/>
        </w:rPr>
        <w:t>17.投标有效期</w:t>
      </w:r>
      <w:bookmarkEnd w:id="1139"/>
      <w:bookmarkEnd w:id="1140"/>
      <w:bookmarkEnd w:id="1141"/>
      <w:bookmarkEnd w:id="1142"/>
      <w:bookmarkEnd w:id="1143"/>
      <w:bookmarkEnd w:id="1144"/>
    </w:p>
    <w:p w14:paraId="6C397F46">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145" w:name="_Toc15271"/>
      <w:bookmarkStart w:id="1146" w:name="_Toc13529"/>
      <w:bookmarkStart w:id="1147" w:name="_Toc30829"/>
      <w:bookmarkStart w:id="1148" w:name="_Toc3898"/>
      <w:bookmarkStart w:id="1149" w:name="_Toc29506"/>
      <w:bookmarkStart w:id="1150" w:name="_Toc32456"/>
      <w:r>
        <w:rPr>
          <w:rFonts w:ascii="宋体" w:eastAsia="宋体" w:cs="宋体"/>
          <w:b w:val="0"/>
          <w:color w:val="auto"/>
          <w:sz w:val="24"/>
          <w:szCs w:val="24"/>
        </w:rPr>
        <w:t>17.1 为保证采购人有足够的时间完成评标和与中标人签订合同，规定投标有效期。 投标有效期期限见投标人须知前附表。</w:t>
      </w:r>
      <w:bookmarkEnd w:id="1145"/>
      <w:bookmarkEnd w:id="1146"/>
      <w:bookmarkEnd w:id="1147"/>
      <w:bookmarkEnd w:id="1148"/>
      <w:bookmarkEnd w:id="1149"/>
      <w:bookmarkEnd w:id="1150"/>
    </w:p>
    <w:p w14:paraId="7ADCCC4D">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151" w:name="_Toc16452"/>
      <w:bookmarkStart w:id="1152" w:name="_Toc5066"/>
      <w:bookmarkStart w:id="1153" w:name="_Toc14678"/>
      <w:bookmarkStart w:id="1154" w:name="_Toc2172"/>
      <w:bookmarkStart w:id="1155" w:name="_Toc5419"/>
      <w:bookmarkStart w:id="1156" w:name="_Toc21913"/>
      <w:r>
        <w:rPr>
          <w:rFonts w:ascii="宋体" w:eastAsia="宋体" w:cs="宋体"/>
          <w:b w:val="0"/>
          <w:color w:val="auto"/>
          <w:sz w:val="24"/>
          <w:szCs w:val="24"/>
        </w:rPr>
        <w:t>17.2 在投标有效期内，投标人的投标保持有效，投标人不得要求撤销或修改其投标文件。</w:t>
      </w:r>
      <w:bookmarkEnd w:id="1151"/>
      <w:bookmarkEnd w:id="1152"/>
      <w:bookmarkEnd w:id="1153"/>
      <w:bookmarkEnd w:id="1154"/>
      <w:bookmarkEnd w:id="1155"/>
      <w:bookmarkEnd w:id="1156"/>
    </w:p>
    <w:p w14:paraId="7413ED1F">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157" w:name="_Toc11133"/>
      <w:bookmarkStart w:id="1158" w:name="_Toc3679"/>
      <w:bookmarkStart w:id="1159" w:name="_Toc3370"/>
      <w:bookmarkStart w:id="1160" w:name="_Toc5642"/>
      <w:bookmarkStart w:id="1161" w:name="_Toc10437"/>
      <w:bookmarkStart w:id="1162" w:name="_Toc6375"/>
      <w:r>
        <w:rPr>
          <w:rFonts w:ascii="宋体" w:eastAsia="宋体" w:cs="宋体"/>
          <w:b w:val="0"/>
          <w:color w:val="auto"/>
          <w:sz w:val="24"/>
          <w:szCs w:val="24"/>
        </w:rPr>
        <w:t>17.3 投标有效期从投标截止日起计算。</w:t>
      </w:r>
      <w:bookmarkEnd w:id="1157"/>
      <w:bookmarkEnd w:id="1158"/>
      <w:bookmarkEnd w:id="1159"/>
      <w:bookmarkEnd w:id="1160"/>
      <w:bookmarkEnd w:id="1161"/>
      <w:bookmarkEnd w:id="1162"/>
    </w:p>
    <w:p w14:paraId="7789493C">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163" w:name="_Toc8978"/>
      <w:bookmarkStart w:id="1164" w:name="_Toc29631"/>
      <w:bookmarkStart w:id="1165" w:name="_Toc19176"/>
      <w:bookmarkStart w:id="1166" w:name="_Toc170"/>
      <w:bookmarkStart w:id="1167" w:name="_Toc21720"/>
      <w:bookmarkStart w:id="1168" w:name="_Toc1888"/>
      <w:r>
        <w:rPr>
          <w:rFonts w:ascii="宋体" w:eastAsia="宋体" w:cs="宋体"/>
          <w:b w:val="0"/>
          <w:color w:val="auto"/>
          <w:sz w:val="24"/>
          <w:szCs w:val="24"/>
        </w:rPr>
        <w:t>17.4 在原定投标有效期满之前，如果出现特殊情况，采购人和代理机构可以书面形式提出延长投标有效期的要求。投标人以书面形式予以答复，投标人可以拒绝这种要求而不被没收投标保证金。同意延长投标有效期的投标人不允许修改其投标文件的实质 性内容，且需要相应地延长投标保证金的有效期。</w:t>
      </w:r>
      <w:bookmarkEnd w:id="1163"/>
      <w:bookmarkEnd w:id="1164"/>
      <w:bookmarkEnd w:id="1165"/>
      <w:bookmarkEnd w:id="1166"/>
      <w:bookmarkEnd w:id="1167"/>
      <w:bookmarkEnd w:id="1168"/>
    </w:p>
    <w:p w14:paraId="10075EE2">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eastAsia="宋体" w:cs="宋体"/>
          <w:color w:val="auto"/>
          <w:sz w:val="24"/>
          <w:szCs w:val="24"/>
        </w:rPr>
      </w:pPr>
      <w:bookmarkStart w:id="1169" w:name="四．投标文件的递交（执行招标公告中电子招投标相关要求）"/>
      <w:bookmarkEnd w:id="1169"/>
      <w:bookmarkStart w:id="1170" w:name="_Toc30964"/>
      <w:bookmarkStart w:id="1171" w:name="_Toc30147"/>
      <w:bookmarkStart w:id="1172" w:name="_Toc11215"/>
      <w:bookmarkStart w:id="1173" w:name="_Toc5752"/>
      <w:bookmarkStart w:id="1174" w:name="_Toc29721"/>
      <w:bookmarkStart w:id="1175" w:name="_Toc27940"/>
      <w:r>
        <w:rPr>
          <w:rFonts w:ascii="宋体" w:eastAsia="宋体" w:cs="宋体"/>
          <w:color w:val="auto"/>
          <w:sz w:val="24"/>
          <w:szCs w:val="24"/>
        </w:rPr>
        <w:t>四．投标文件的递交</w:t>
      </w:r>
      <w:bookmarkEnd w:id="1170"/>
      <w:bookmarkEnd w:id="1171"/>
      <w:bookmarkEnd w:id="1172"/>
      <w:bookmarkEnd w:id="1173"/>
      <w:bookmarkEnd w:id="1174"/>
      <w:bookmarkEnd w:id="1175"/>
    </w:p>
    <w:p w14:paraId="105CE35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auto"/>
          <w:sz w:val="24"/>
          <w:szCs w:val="24"/>
        </w:rPr>
      </w:pPr>
      <w:bookmarkStart w:id="1176" w:name="_Toc3352"/>
      <w:bookmarkStart w:id="1177" w:name="_Toc6837"/>
      <w:bookmarkStart w:id="1178" w:name="_Toc31563"/>
      <w:bookmarkStart w:id="1179" w:name="_Toc6525"/>
      <w:bookmarkStart w:id="1180" w:name="_Toc16678"/>
      <w:bookmarkStart w:id="1181" w:name="_Toc16856"/>
      <w:bookmarkStart w:id="1182" w:name="_Toc15939"/>
      <w:bookmarkStart w:id="1183" w:name="_Toc11377"/>
      <w:bookmarkStart w:id="1184" w:name="_Toc456249645"/>
      <w:bookmarkStart w:id="1185" w:name="_Toc407096155"/>
      <w:bookmarkStart w:id="1186" w:name="_Toc456249686"/>
      <w:bookmarkStart w:id="1187" w:name="_Toc516969091"/>
      <w:bookmarkStart w:id="1188" w:name="_Toc456249449"/>
      <w:r>
        <w:rPr>
          <w:rFonts w:hint="eastAsia" w:ascii="宋体" w:hAnsi="宋体"/>
          <w:color w:val="auto"/>
          <w:sz w:val="24"/>
          <w:szCs w:val="24"/>
        </w:rPr>
        <w:t>18、投标文件的密封和标记</w:t>
      </w:r>
    </w:p>
    <w:p w14:paraId="4095D78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auto"/>
          <w:sz w:val="24"/>
          <w:szCs w:val="24"/>
        </w:rPr>
      </w:pPr>
      <w:r>
        <w:rPr>
          <w:rFonts w:hint="eastAsia" w:ascii="宋体" w:hAnsi="宋体"/>
          <w:color w:val="auto"/>
          <w:sz w:val="24"/>
          <w:szCs w:val="24"/>
        </w:rPr>
        <w:t>18.1供应商应将投标文件正本与副本装订密封（正本1份、副本4份），在一个信封袋内。</w:t>
      </w:r>
    </w:p>
    <w:p w14:paraId="32080D6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auto"/>
          <w:sz w:val="24"/>
          <w:szCs w:val="24"/>
        </w:rPr>
      </w:pPr>
      <w:r>
        <w:rPr>
          <w:rFonts w:hint="eastAsia" w:ascii="宋体" w:hAnsi="宋体"/>
          <w:color w:val="auto"/>
          <w:sz w:val="24"/>
          <w:szCs w:val="24"/>
        </w:rPr>
        <w:t>18.2所有封袋上都必须注明：采购人名称、项目名称、供应商名称，供应商地址，并注明“在</w:t>
      </w:r>
      <w:r>
        <w:rPr>
          <w:rFonts w:hint="eastAsia" w:ascii="宋体" w:hAnsi="宋体"/>
          <w:color w:val="auto"/>
          <w:sz w:val="24"/>
          <w:szCs w:val="24"/>
          <w:u w:val="single"/>
        </w:rPr>
        <w:t xml:space="preserve"> 202</w:t>
      </w:r>
      <w:r>
        <w:rPr>
          <w:rFonts w:hint="eastAsia" w:ascii="宋体" w:hAnsi="宋体"/>
          <w:color w:val="auto"/>
          <w:sz w:val="24"/>
          <w:szCs w:val="24"/>
          <w:u w:val="single"/>
          <w:lang w:val="en-US" w:eastAsia="zh-CN"/>
        </w:rPr>
        <w:t>5</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1</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26</w:t>
      </w:r>
      <w:r>
        <w:rPr>
          <w:rFonts w:hint="eastAsia" w:ascii="宋体" w:hAnsi="宋体"/>
          <w:color w:val="auto"/>
          <w:sz w:val="24"/>
          <w:szCs w:val="24"/>
          <w:u w:val="single"/>
        </w:rPr>
        <w:t xml:space="preserve"> </w:t>
      </w:r>
      <w:r>
        <w:rPr>
          <w:rFonts w:hint="eastAsia" w:ascii="宋体" w:hAnsi="宋体"/>
          <w:color w:val="auto"/>
          <w:sz w:val="24"/>
          <w:szCs w:val="24"/>
        </w:rPr>
        <w:t>日</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8</w:t>
      </w:r>
      <w:r>
        <w:rPr>
          <w:rFonts w:hint="eastAsia" w:ascii="宋体" w:hAnsi="宋体"/>
          <w:color w:val="auto"/>
          <w:sz w:val="24"/>
          <w:szCs w:val="24"/>
          <w:u w:val="single"/>
        </w:rPr>
        <w:t xml:space="preserve"> </w:t>
      </w:r>
      <w:r>
        <w:rPr>
          <w:rFonts w:hint="eastAsia" w:ascii="宋体" w:hAnsi="宋体"/>
          <w:color w:val="auto"/>
          <w:sz w:val="24"/>
          <w:szCs w:val="24"/>
        </w:rPr>
        <w:t>时</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30</w:t>
      </w:r>
      <w:r>
        <w:rPr>
          <w:rFonts w:hint="eastAsia" w:ascii="宋体" w:hAnsi="宋体"/>
          <w:color w:val="auto"/>
          <w:sz w:val="24"/>
          <w:szCs w:val="24"/>
          <w:u w:val="single"/>
        </w:rPr>
        <w:t xml:space="preserve"> </w:t>
      </w:r>
      <w:r>
        <w:rPr>
          <w:rFonts w:hint="eastAsia" w:ascii="宋体" w:hAnsi="宋体"/>
          <w:color w:val="auto"/>
          <w:sz w:val="24"/>
          <w:szCs w:val="24"/>
        </w:rPr>
        <w:t>分（投标截止时间）之前不得启封”字样。</w:t>
      </w:r>
    </w:p>
    <w:p w14:paraId="68681E1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auto"/>
          <w:sz w:val="24"/>
          <w:szCs w:val="24"/>
        </w:rPr>
      </w:pPr>
      <w:r>
        <w:rPr>
          <w:rFonts w:hint="eastAsia" w:ascii="宋体" w:hAnsi="宋体"/>
          <w:color w:val="auto"/>
          <w:sz w:val="24"/>
          <w:szCs w:val="24"/>
        </w:rPr>
        <w:t>18.3所有投标文件应在密封袋上加盖供应商公章。</w:t>
      </w:r>
    </w:p>
    <w:p w14:paraId="27A3DB4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auto"/>
          <w:sz w:val="24"/>
          <w:szCs w:val="24"/>
        </w:rPr>
      </w:pPr>
      <w:r>
        <w:rPr>
          <w:rFonts w:hint="eastAsia" w:ascii="宋体" w:hAnsi="宋体"/>
          <w:color w:val="auto"/>
          <w:sz w:val="24"/>
          <w:szCs w:val="24"/>
        </w:rPr>
        <w:t>18.4如果供应商递交的投标文件密封标记不符合上述规定，采购人/招标代理机构有权不予接受，并将不对投标文件的提前启封或误投负责。</w:t>
      </w:r>
    </w:p>
    <w:p w14:paraId="5E528BCF">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eastAsia="宋体" w:cs="宋体"/>
          <w:color w:val="auto"/>
          <w:sz w:val="24"/>
          <w:szCs w:val="24"/>
        </w:rPr>
      </w:pPr>
      <w:r>
        <w:rPr>
          <w:rFonts w:ascii="宋体" w:eastAsia="宋体" w:cs="宋体"/>
          <w:color w:val="auto"/>
          <w:sz w:val="24"/>
          <w:szCs w:val="24"/>
        </w:rPr>
        <w:t>五、开标与评标</w:t>
      </w:r>
      <w:bookmarkEnd w:id="1176"/>
      <w:bookmarkEnd w:id="1177"/>
      <w:bookmarkEnd w:id="1178"/>
      <w:bookmarkEnd w:id="1179"/>
      <w:bookmarkEnd w:id="1180"/>
      <w:bookmarkEnd w:id="1181"/>
      <w:bookmarkEnd w:id="1182"/>
      <w:bookmarkEnd w:id="1183"/>
    </w:p>
    <w:p w14:paraId="14D9A60F">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color w:val="auto"/>
          <w:sz w:val="24"/>
        </w:rPr>
      </w:pPr>
      <w:bookmarkStart w:id="1189" w:name="_Toc19822"/>
      <w:bookmarkStart w:id="1190" w:name="_Toc26770"/>
      <w:bookmarkStart w:id="1191" w:name="EB082b4fdb1b8e4bb3b993d7a371da1a94"/>
      <w:bookmarkStart w:id="1192" w:name="_Toc20219"/>
      <w:r>
        <w:rPr>
          <w:rFonts w:hint="eastAsia" w:ascii="宋体" w:hAnsi="宋体" w:eastAsia="宋体" w:cs="宋体"/>
          <w:color w:val="auto"/>
          <w:sz w:val="24"/>
        </w:rPr>
        <w:t>19、开标</w:t>
      </w:r>
    </w:p>
    <w:p w14:paraId="60D579A7">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color w:val="auto"/>
          <w:sz w:val="24"/>
        </w:rPr>
      </w:pPr>
      <w:r>
        <w:rPr>
          <w:rFonts w:hint="eastAsia" w:ascii="宋体" w:hAnsi="宋体" w:eastAsia="宋体" w:cs="宋体"/>
          <w:color w:val="auto"/>
          <w:sz w:val="24"/>
        </w:rPr>
        <w:t xml:space="preserve"> 采购人将拒绝投标截止时间后提交的任何投标文件。</w:t>
      </w:r>
    </w:p>
    <w:bookmarkEnd w:id="1189"/>
    <w:bookmarkEnd w:id="1190"/>
    <w:bookmarkEnd w:id="1191"/>
    <w:bookmarkEnd w:id="1192"/>
    <w:p w14:paraId="6EBD132B">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193" w:name="_Toc8045"/>
      <w:bookmarkStart w:id="1194" w:name="_Toc32352"/>
      <w:bookmarkStart w:id="1195" w:name="_Toc26756"/>
      <w:bookmarkStart w:id="1196" w:name="_Toc5326"/>
      <w:bookmarkStart w:id="1197" w:name="_Toc17521"/>
      <w:bookmarkStart w:id="1198" w:name="_Toc3886"/>
      <w:bookmarkStart w:id="1199" w:name="_Toc2804"/>
      <w:bookmarkStart w:id="1200" w:name="_Toc16423"/>
      <w:r>
        <w:rPr>
          <w:rFonts w:ascii="宋体" w:eastAsia="宋体" w:cs="宋体"/>
          <w:b w:val="0"/>
          <w:color w:val="auto"/>
          <w:sz w:val="24"/>
          <w:szCs w:val="24"/>
        </w:rPr>
        <w:t>19.1 为有助于投标的审查、评价和比较，评标委员会可以书面方式要求供应商对投标文件中含义不明确、对同类问题表述不一致或者有明显文字和计算错误的内容作必要的澄清、说明或补正。澄清、说明或补正不得超出投标文件的范围或改变投标文件的 实质性内容。</w:t>
      </w:r>
      <w:bookmarkEnd w:id="1193"/>
      <w:bookmarkEnd w:id="1194"/>
      <w:bookmarkEnd w:id="1195"/>
      <w:bookmarkEnd w:id="1196"/>
      <w:bookmarkEnd w:id="1197"/>
      <w:bookmarkEnd w:id="1198"/>
      <w:bookmarkEnd w:id="1199"/>
      <w:bookmarkEnd w:id="1200"/>
    </w:p>
    <w:p w14:paraId="32200806">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201" w:name="_Toc22090"/>
      <w:bookmarkStart w:id="1202" w:name="_Toc14090"/>
      <w:bookmarkStart w:id="1203" w:name="_Toc6277"/>
      <w:bookmarkStart w:id="1204" w:name="_Toc9871"/>
      <w:bookmarkStart w:id="1205" w:name="_Toc23597"/>
      <w:bookmarkStart w:id="1206" w:name="_Toc14874"/>
      <w:bookmarkStart w:id="1207" w:name="_Toc11925"/>
      <w:bookmarkStart w:id="1208" w:name="_Toc18446"/>
      <w:r>
        <w:rPr>
          <w:rFonts w:ascii="宋体" w:eastAsia="宋体" w:cs="宋体"/>
          <w:b w:val="0"/>
          <w:color w:val="auto"/>
          <w:sz w:val="24"/>
          <w:szCs w:val="24"/>
        </w:rPr>
        <w:t>19.2 投标文件中大写金额和小写金额不一致的，以大写金额为准；总价金额与按单价汇总金额不一致的，以单价金额计算结果为准；单价金额小数点有明显错位的，应以总价为准，并修改单价。</w:t>
      </w:r>
      <w:bookmarkEnd w:id="1201"/>
      <w:bookmarkEnd w:id="1202"/>
      <w:bookmarkEnd w:id="1203"/>
      <w:bookmarkEnd w:id="1204"/>
      <w:bookmarkEnd w:id="1205"/>
      <w:bookmarkEnd w:id="1206"/>
      <w:bookmarkEnd w:id="1207"/>
      <w:bookmarkEnd w:id="1208"/>
    </w:p>
    <w:p w14:paraId="7D338D88">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209" w:name="_Toc28697"/>
      <w:bookmarkStart w:id="1210" w:name="_Toc28802"/>
      <w:bookmarkStart w:id="1211" w:name="_Toc21039"/>
      <w:bookmarkStart w:id="1212" w:name="_Toc25764"/>
      <w:bookmarkStart w:id="1213" w:name="_Toc10910"/>
      <w:bookmarkStart w:id="1214" w:name="_Toc18118"/>
      <w:bookmarkStart w:id="1215" w:name="_Toc14860"/>
      <w:bookmarkStart w:id="1216" w:name="_Toc14568"/>
      <w:r>
        <w:rPr>
          <w:rFonts w:ascii="宋体" w:eastAsia="宋体" w:cs="宋体"/>
          <w:b w:val="0"/>
          <w:color w:val="auto"/>
          <w:sz w:val="24"/>
          <w:szCs w:val="24"/>
        </w:rPr>
        <w:t>19.3 开标一览表内容与投标文件中明细表内容不一致的，以开标一览表为准。</w:t>
      </w:r>
      <w:bookmarkEnd w:id="1209"/>
      <w:bookmarkEnd w:id="1210"/>
      <w:bookmarkEnd w:id="1211"/>
      <w:bookmarkEnd w:id="1212"/>
      <w:bookmarkEnd w:id="1213"/>
      <w:bookmarkEnd w:id="1214"/>
      <w:bookmarkEnd w:id="1215"/>
      <w:bookmarkEnd w:id="1216"/>
    </w:p>
    <w:p w14:paraId="160E46EB">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217" w:name="_Toc14614"/>
      <w:bookmarkStart w:id="1218" w:name="_Toc19674"/>
      <w:bookmarkStart w:id="1219" w:name="_Toc9413"/>
      <w:bookmarkStart w:id="1220" w:name="_Toc30514"/>
      <w:bookmarkStart w:id="1221" w:name="_Toc24956"/>
      <w:bookmarkStart w:id="1222" w:name="_Toc16074"/>
      <w:bookmarkStart w:id="1223" w:name="_Toc14895"/>
      <w:bookmarkStart w:id="1224" w:name="_Toc27983"/>
      <w:r>
        <w:rPr>
          <w:rFonts w:ascii="宋体" w:eastAsia="宋体" w:cs="宋体"/>
          <w:b w:val="0"/>
          <w:color w:val="auto"/>
          <w:sz w:val="24"/>
          <w:szCs w:val="24"/>
        </w:rPr>
        <w:t>20.评标</w:t>
      </w:r>
      <w:bookmarkEnd w:id="1217"/>
      <w:bookmarkEnd w:id="1218"/>
      <w:bookmarkEnd w:id="1219"/>
      <w:bookmarkEnd w:id="1220"/>
      <w:bookmarkEnd w:id="1221"/>
      <w:bookmarkEnd w:id="1222"/>
      <w:bookmarkEnd w:id="1223"/>
      <w:bookmarkEnd w:id="1224"/>
    </w:p>
    <w:p w14:paraId="0C834B59">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225" w:name="_Toc14104"/>
      <w:bookmarkStart w:id="1226" w:name="_Toc19561"/>
      <w:bookmarkStart w:id="1227" w:name="_Toc4508"/>
      <w:bookmarkStart w:id="1228" w:name="_Toc31989"/>
      <w:bookmarkStart w:id="1229" w:name="_Toc24295"/>
      <w:bookmarkStart w:id="1230" w:name="_Toc387"/>
      <w:bookmarkStart w:id="1231" w:name="_Toc22610"/>
      <w:bookmarkStart w:id="1232" w:name="_Toc5797"/>
      <w:r>
        <w:rPr>
          <w:rFonts w:ascii="宋体" w:eastAsia="宋体" w:cs="宋体"/>
          <w:b w:val="0"/>
          <w:color w:val="auto"/>
          <w:sz w:val="24"/>
          <w:szCs w:val="24"/>
        </w:rPr>
        <w:t>20.1 评委会将按照磋商文件规定的评标办法对供应商进行独立评审。</w:t>
      </w:r>
      <w:bookmarkEnd w:id="1225"/>
      <w:bookmarkEnd w:id="1226"/>
      <w:bookmarkEnd w:id="1227"/>
      <w:bookmarkEnd w:id="1228"/>
      <w:bookmarkEnd w:id="1229"/>
      <w:bookmarkEnd w:id="1230"/>
      <w:bookmarkEnd w:id="1231"/>
      <w:bookmarkEnd w:id="1232"/>
    </w:p>
    <w:p w14:paraId="6E51CC6B">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233" w:name="_Toc18037"/>
      <w:bookmarkStart w:id="1234" w:name="_Toc29355"/>
      <w:bookmarkStart w:id="1235" w:name="_Toc28867"/>
      <w:bookmarkStart w:id="1236" w:name="_Toc3788"/>
      <w:bookmarkStart w:id="1237" w:name="_Toc1914"/>
      <w:bookmarkStart w:id="1238" w:name="_Toc14819"/>
      <w:bookmarkStart w:id="1239" w:name="_Toc635"/>
      <w:bookmarkStart w:id="1240" w:name="_Toc1416"/>
      <w:r>
        <w:rPr>
          <w:rFonts w:ascii="宋体" w:eastAsia="宋体" w:cs="宋体"/>
          <w:b w:val="0"/>
          <w:color w:val="auto"/>
          <w:sz w:val="24"/>
          <w:szCs w:val="24"/>
        </w:rPr>
        <w:t>20.2 初审时，评委会将首先审查投标文件是否实质上响应磋商文件的初审指标要求。实质上响应的投标应与磋商文件的全部条款、条件和规格相符，没有重大偏离或保留。所谓重大偏离或保留是指影响合同的服务范围、质量和性能等；或者在实质上与招标文件不一致，而且限制了合同中买方的权利或供应商的义务。这些偏离或保留将会对 其他实质上响应要求的供应商的竞争地位产生不公正的影响。供应商不得通过修改或撤销不合要求的偏离或保留而使其投标成为响应性的投标。</w:t>
      </w:r>
      <w:bookmarkEnd w:id="1233"/>
      <w:bookmarkEnd w:id="1234"/>
      <w:bookmarkEnd w:id="1235"/>
      <w:bookmarkEnd w:id="1236"/>
      <w:bookmarkEnd w:id="1237"/>
      <w:bookmarkEnd w:id="1238"/>
      <w:bookmarkEnd w:id="1239"/>
      <w:bookmarkEnd w:id="1240"/>
    </w:p>
    <w:p w14:paraId="03526082">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241" w:name="_Toc18917"/>
      <w:bookmarkStart w:id="1242" w:name="_Toc23792"/>
      <w:bookmarkStart w:id="1243" w:name="_Toc10275"/>
      <w:bookmarkStart w:id="1244" w:name="_Toc22212"/>
      <w:bookmarkStart w:id="1245" w:name="_Toc2004"/>
      <w:bookmarkStart w:id="1246" w:name="_Toc30237"/>
      <w:bookmarkStart w:id="1247" w:name="_Toc2658"/>
      <w:bookmarkStart w:id="1248" w:name="_Toc29441"/>
      <w:r>
        <w:rPr>
          <w:rFonts w:ascii="宋体" w:eastAsia="宋体" w:cs="宋体"/>
          <w:b w:val="0"/>
          <w:color w:val="auto"/>
          <w:sz w:val="24"/>
          <w:szCs w:val="24"/>
        </w:rPr>
        <w:t>有下列情形之一的，评标委员会应当否决其投标：</w:t>
      </w:r>
      <w:bookmarkEnd w:id="1241"/>
      <w:bookmarkEnd w:id="1242"/>
      <w:bookmarkEnd w:id="1243"/>
      <w:bookmarkEnd w:id="1244"/>
      <w:bookmarkEnd w:id="1245"/>
      <w:bookmarkEnd w:id="1246"/>
      <w:bookmarkEnd w:id="1247"/>
      <w:bookmarkEnd w:id="1248"/>
    </w:p>
    <w:p w14:paraId="03B48293">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249" w:name="_Toc29755"/>
      <w:bookmarkStart w:id="1250" w:name="_Toc20249"/>
      <w:bookmarkStart w:id="1251" w:name="_Toc2810"/>
      <w:bookmarkStart w:id="1252" w:name="_Toc26152"/>
      <w:bookmarkStart w:id="1253" w:name="_Toc25651"/>
      <w:bookmarkStart w:id="1254" w:name="_Toc12005"/>
      <w:bookmarkStart w:id="1255" w:name="_Toc20096"/>
      <w:bookmarkStart w:id="1256" w:name="_Toc29687"/>
      <w:r>
        <w:rPr>
          <w:rFonts w:ascii="宋体" w:eastAsia="宋体" w:cs="宋体"/>
          <w:b w:val="0"/>
          <w:color w:val="auto"/>
          <w:sz w:val="24"/>
          <w:szCs w:val="24"/>
        </w:rPr>
        <w:t>20.2.1 投标文件未经投标单位盖章（电子章）的；</w:t>
      </w:r>
      <w:bookmarkEnd w:id="1249"/>
      <w:bookmarkEnd w:id="1250"/>
      <w:bookmarkEnd w:id="1251"/>
      <w:bookmarkEnd w:id="1252"/>
      <w:bookmarkEnd w:id="1253"/>
      <w:bookmarkEnd w:id="1254"/>
      <w:bookmarkEnd w:id="1255"/>
      <w:bookmarkEnd w:id="1256"/>
    </w:p>
    <w:p w14:paraId="3821F88F">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257" w:name="_Toc31137"/>
      <w:bookmarkStart w:id="1258" w:name="_Toc31943"/>
      <w:bookmarkStart w:id="1259" w:name="_Toc15411"/>
      <w:bookmarkStart w:id="1260" w:name="_Toc13176"/>
      <w:bookmarkStart w:id="1261" w:name="_Toc27576"/>
      <w:bookmarkStart w:id="1262" w:name="_Toc9043"/>
      <w:bookmarkStart w:id="1263" w:name="_Toc21823"/>
      <w:bookmarkStart w:id="1264" w:name="_Toc1356"/>
      <w:r>
        <w:rPr>
          <w:rFonts w:ascii="宋体" w:eastAsia="宋体" w:cs="宋体"/>
          <w:b w:val="0"/>
          <w:color w:val="auto"/>
          <w:sz w:val="24"/>
          <w:szCs w:val="24"/>
        </w:rPr>
        <w:t>20.2.2 投标联合体没有提交共同投标协议；</w:t>
      </w:r>
      <w:bookmarkEnd w:id="1257"/>
      <w:bookmarkEnd w:id="1258"/>
      <w:bookmarkEnd w:id="1259"/>
      <w:bookmarkEnd w:id="1260"/>
      <w:bookmarkEnd w:id="1261"/>
      <w:bookmarkEnd w:id="1262"/>
      <w:bookmarkEnd w:id="1263"/>
      <w:bookmarkEnd w:id="1264"/>
    </w:p>
    <w:p w14:paraId="08200C7A">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265" w:name="_Toc24148"/>
      <w:bookmarkStart w:id="1266" w:name="_Toc28415"/>
      <w:bookmarkStart w:id="1267" w:name="_Toc19310"/>
      <w:bookmarkStart w:id="1268" w:name="_Toc26836"/>
      <w:bookmarkStart w:id="1269" w:name="_Toc659"/>
      <w:bookmarkStart w:id="1270" w:name="_Toc31234"/>
      <w:bookmarkStart w:id="1271" w:name="_Toc25042"/>
      <w:bookmarkStart w:id="1272" w:name="_Toc16843"/>
      <w:r>
        <w:rPr>
          <w:rFonts w:ascii="宋体" w:eastAsia="宋体" w:cs="宋体"/>
          <w:b w:val="0"/>
          <w:color w:val="auto"/>
          <w:sz w:val="24"/>
          <w:szCs w:val="24"/>
        </w:rPr>
        <w:t>20.2.3 供应商不符合国家或者磋商文件规定的资格条件；</w:t>
      </w:r>
      <w:bookmarkEnd w:id="1265"/>
      <w:bookmarkEnd w:id="1266"/>
      <w:bookmarkEnd w:id="1267"/>
      <w:bookmarkEnd w:id="1268"/>
      <w:bookmarkEnd w:id="1269"/>
      <w:bookmarkEnd w:id="1270"/>
      <w:bookmarkEnd w:id="1271"/>
      <w:bookmarkEnd w:id="1272"/>
    </w:p>
    <w:p w14:paraId="455B5B0A">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273" w:name="_Toc32202"/>
      <w:bookmarkStart w:id="1274" w:name="_Toc20487"/>
      <w:bookmarkStart w:id="1275" w:name="_Toc1981"/>
      <w:bookmarkStart w:id="1276" w:name="_Toc6598"/>
      <w:bookmarkStart w:id="1277" w:name="_Toc28741"/>
      <w:bookmarkStart w:id="1278" w:name="_Toc7374"/>
      <w:bookmarkStart w:id="1279" w:name="_Toc24516"/>
      <w:bookmarkStart w:id="1280" w:name="_Toc19172"/>
      <w:r>
        <w:rPr>
          <w:rFonts w:ascii="宋体" w:eastAsia="宋体" w:cs="宋体"/>
          <w:b w:val="0"/>
          <w:color w:val="auto"/>
          <w:sz w:val="24"/>
          <w:szCs w:val="24"/>
        </w:rPr>
        <w:t>20.2.4 同一供应商提交两个以上不同的投标文件或者投标报价，但磋商文件要求提交备选投标的除外；</w:t>
      </w:r>
      <w:bookmarkEnd w:id="1273"/>
      <w:bookmarkEnd w:id="1274"/>
      <w:bookmarkEnd w:id="1275"/>
      <w:bookmarkEnd w:id="1276"/>
      <w:bookmarkEnd w:id="1277"/>
      <w:bookmarkEnd w:id="1278"/>
      <w:bookmarkEnd w:id="1279"/>
      <w:bookmarkEnd w:id="1280"/>
    </w:p>
    <w:p w14:paraId="5155098B">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281" w:name="_Toc16096"/>
      <w:bookmarkStart w:id="1282" w:name="_Toc339"/>
      <w:bookmarkStart w:id="1283" w:name="_Toc30091"/>
      <w:bookmarkStart w:id="1284" w:name="_Toc31789"/>
      <w:bookmarkStart w:id="1285" w:name="_Toc19396"/>
      <w:bookmarkStart w:id="1286" w:name="_Toc15781"/>
      <w:bookmarkStart w:id="1287" w:name="_Toc10503"/>
      <w:bookmarkStart w:id="1288" w:name="_Toc1326"/>
      <w:r>
        <w:rPr>
          <w:rFonts w:ascii="宋体" w:eastAsia="宋体" w:cs="宋体"/>
          <w:b w:val="0"/>
          <w:color w:val="auto"/>
          <w:sz w:val="24"/>
          <w:szCs w:val="24"/>
        </w:rPr>
        <w:t>20.2.5 投标报价低于成本或者高于磋商文件设定的最高投标限价；</w:t>
      </w:r>
      <w:bookmarkEnd w:id="1281"/>
      <w:bookmarkEnd w:id="1282"/>
      <w:bookmarkEnd w:id="1283"/>
      <w:bookmarkEnd w:id="1284"/>
      <w:bookmarkEnd w:id="1285"/>
      <w:bookmarkEnd w:id="1286"/>
      <w:bookmarkEnd w:id="1287"/>
      <w:bookmarkEnd w:id="1288"/>
    </w:p>
    <w:p w14:paraId="055EC0AA">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289" w:name="_Toc24787"/>
      <w:bookmarkStart w:id="1290" w:name="_Toc20025"/>
      <w:bookmarkStart w:id="1291" w:name="_Toc12964"/>
      <w:bookmarkStart w:id="1292" w:name="_Toc21590"/>
      <w:bookmarkStart w:id="1293" w:name="_Toc2079"/>
      <w:bookmarkStart w:id="1294" w:name="_Toc17899"/>
      <w:bookmarkStart w:id="1295" w:name="_Toc17796"/>
      <w:bookmarkStart w:id="1296" w:name="_Toc10273"/>
      <w:r>
        <w:rPr>
          <w:rFonts w:ascii="宋体" w:eastAsia="宋体" w:cs="宋体"/>
          <w:b w:val="0"/>
          <w:color w:val="auto"/>
          <w:sz w:val="24"/>
          <w:szCs w:val="24"/>
        </w:rPr>
        <w:t>20.2.6 投标文件没有对磋商文件的实质性要求和条件作出响应；</w:t>
      </w:r>
      <w:bookmarkEnd w:id="1289"/>
      <w:bookmarkEnd w:id="1290"/>
      <w:bookmarkEnd w:id="1291"/>
      <w:bookmarkEnd w:id="1292"/>
      <w:bookmarkEnd w:id="1293"/>
      <w:bookmarkEnd w:id="1294"/>
      <w:bookmarkEnd w:id="1295"/>
      <w:bookmarkEnd w:id="1296"/>
    </w:p>
    <w:p w14:paraId="076D5D7A">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297" w:name="_Toc28803"/>
      <w:bookmarkStart w:id="1298" w:name="_Toc3179"/>
      <w:bookmarkStart w:id="1299" w:name="_Toc942"/>
      <w:bookmarkStart w:id="1300" w:name="_Toc7303"/>
      <w:bookmarkStart w:id="1301" w:name="_Toc16483"/>
      <w:bookmarkStart w:id="1302" w:name="_Toc26739"/>
      <w:bookmarkStart w:id="1303" w:name="_Toc27461"/>
      <w:bookmarkStart w:id="1304" w:name="_Toc17159"/>
      <w:r>
        <w:rPr>
          <w:rFonts w:ascii="宋体" w:eastAsia="宋体" w:cs="宋体"/>
          <w:b w:val="0"/>
          <w:color w:val="auto"/>
          <w:sz w:val="24"/>
          <w:szCs w:val="24"/>
        </w:rPr>
        <w:t>20.2.7 供应商有串通投标、弄虚作假、行贿等违法行为。</w:t>
      </w:r>
      <w:bookmarkEnd w:id="1297"/>
      <w:bookmarkEnd w:id="1298"/>
      <w:bookmarkEnd w:id="1299"/>
      <w:bookmarkEnd w:id="1300"/>
      <w:bookmarkEnd w:id="1301"/>
      <w:bookmarkEnd w:id="1302"/>
      <w:bookmarkEnd w:id="1303"/>
      <w:bookmarkEnd w:id="1304"/>
    </w:p>
    <w:p w14:paraId="57CE2953">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305" w:name="_Toc7769"/>
      <w:bookmarkStart w:id="1306" w:name="_Toc18504"/>
      <w:bookmarkStart w:id="1307" w:name="_Toc3893"/>
      <w:bookmarkStart w:id="1308" w:name="_Toc4235"/>
      <w:bookmarkStart w:id="1309" w:name="_Toc17172"/>
      <w:bookmarkStart w:id="1310" w:name="_Toc20468"/>
      <w:bookmarkStart w:id="1311" w:name="_Toc530"/>
      <w:bookmarkStart w:id="1312" w:name="_Toc15635"/>
      <w:r>
        <w:rPr>
          <w:rFonts w:ascii="宋体" w:eastAsia="宋体" w:cs="宋体"/>
          <w:b w:val="0"/>
          <w:color w:val="auto"/>
          <w:sz w:val="24"/>
          <w:szCs w:val="24"/>
        </w:rPr>
        <w:t>20.3 评审时，评委会将审查投标文件是否符合磋商文件的评审指标要求。</w:t>
      </w:r>
      <w:bookmarkEnd w:id="1305"/>
      <w:bookmarkEnd w:id="1306"/>
      <w:bookmarkEnd w:id="1307"/>
      <w:bookmarkEnd w:id="1308"/>
      <w:bookmarkEnd w:id="1309"/>
      <w:bookmarkEnd w:id="1310"/>
      <w:bookmarkEnd w:id="1311"/>
      <w:bookmarkEnd w:id="1312"/>
    </w:p>
    <w:p w14:paraId="14813709">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313" w:name="_Toc28739"/>
      <w:bookmarkStart w:id="1314" w:name="_Toc23828"/>
      <w:bookmarkStart w:id="1315" w:name="_Toc32369"/>
      <w:bookmarkStart w:id="1316" w:name="_Toc7050"/>
      <w:bookmarkStart w:id="1317" w:name="_Toc4150"/>
      <w:bookmarkStart w:id="1318" w:name="_Toc23238"/>
      <w:bookmarkStart w:id="1319" w:name="_Toc13389"/>
      <w:bookmarkStart w:id="1320" w:name="_Toc14316"/>
      <w:r>
        <w:rPr>
          <w:rFonts w:ascii="宋体" w:eastAsia="宋体" w:cs="宋体"/>
          <w:b w:val="0"/>
          <w:color w:val="auto"/>
          <w:sz w:val="24"/>
          <w:szCs w:val="24"/>
        </w:rPr>
        <w:t>20.4 如果投标文件未通过投标有效性评审，投标无效。</w:t>
      </w:r>
      <w:bookmarkEnd w:id="1313"/>
      <w:bookmarkEnd w:id="1314"/>
      <w:bookmarkEnd w:id="1315"/>
      <w:bookmarkEnd w:id="1316"/>
      <w:bookmarkEnd w:id="1317"/>
      <w:bookmarkEnd w:id="1318"/>
      <w:bookmarkEnd w:id="1319"/>
      <w:bookmarkEnd w:id="1320"/>
    </w:p>
    <w:p w14:paraId="168720E8">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321" w:name="_Toc7572"/>
      <w:bookmarkStart w:id="1322" w:name="_Toc2847"/>
      <w:bookmarkStart w:id="1323" w:name="_Toc19768"/>
      <w:bookmarkStart w:id="1324" w:name="_Toc32215"/>
      <w:bookmarkStart w:id="1325" w:name="_Toc3075"/>
      <w:bookmarkStart w:id="1326" w:name="_Toc26623"/>
      <w:bookmarkStart w:id="1327" w:name="_Toc12952"/>
      <w:bookmarkStart w:id="1328" w:name="_Toc11823"/>
      <w:r>
        <w:rPr>
          <w:rFonts w:ascii="宋体" w:eastAsia="宋体" w:cs="宋体"/>
          <w:b w:val="0"/>
          <w:color w:val="auto"/>
          <w:sz w:val="24"/>
          <w:szCs w:val="24"/>
        </w:rPr>
        <w:t>20.5 评委会决定投标文件的响应性及符合性只根据投标文件本身的内容而不寻求其他外部证据。</w:t>
      </w:r>
      <w:bookmarkEnd w:id="1321"/>
      <w:bookmarkEnd w:id="1322"/>
      <w:bookmarkEnd w:id="1323"/>
      <w:bookmarkEnd w:id="1324"/>
      <w:bookmarkEnd w:id="1325"/>
      <w:bookmarkEnd w:id="1326"/>
      <w:bookmarkEnd w:id="1327"/>
      <w:bookmarkEnd w:id="1328"/>
    </w:p>
    <w:p w14:paraId="786D5F68">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329" w:name="_Toc29576"/>
      <w:bookmarkStart w:id="1330" w:name="_Toc28146"/>
      <w:bookmarkStart w:id="1331" w:name="_Toc25123"/>
      <w:bookmarkStart w:id="1332" w:name="_Toc28756"/>
      <w:bookmarkStart w:id="1333" w:name="_Toc32153"/>
      <w:bookmarkStart w:id="1334" w:name="_Toc5855"/>
      <w:bookmarkStart w:id="1335" w:name="_Toc16250"/>
      <w:bookmarkStart w:id="1336" w:name="_Toc29522"/>
      <w:r>
        <w:rPr>
          <w:rFonts w:ascii="宋体" w:eastAsia="宋体" w:cs="宋体"/>
          <w:b w:val="0"/>
          <w:color w:val="auto"/>
          <w:sz w:val="24"/>
          <w:szCs w:val="24"/>
        </w:rPr>
        <w:t>21.废标处理</w:t>
      </w:r>
      <w:bookmarkEnd w:id="1329"/>
      <w:bookmarkEnd w:id="1330"/>
      <w:bookmarkEnd w:id="1331"/>
      <w:bookmarkEnd w:id="1332"/>
      <w:bookmarkEnd w:id="1333"/>
      <w:bookmarkEnd w:id="1334"/>
      <w:bookmarkEnd w:id="1335"/>
      <w:bookmarkEnd w:id="1336"/>
    </w:p>
    <w:p w14:paraId="502FB519">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337" w:name="_Toc485"/>
      <w:bookmarkStart w:id="1338" w:name="_Toc31178"/>
      <w:bookmarkStart w:id="1339" w:name="_Toc32542"/>
      <w:bookmarkStart w:id="1340" w:name="_Toc6946"/>
      <w:bookmarkStart w:id="1341" w:name="_Toc32247"/>
      <w:bookmarkStart w:id="1342" w:name="_Toc27492"/>
      <w:bookmarkStart w:id="1343" w:name="_Toc11839"/>
      <w:bookmarkStart w:id="1344" w:name="_Toc28514"/>
      <w:r>
        <w:rPr>
          <w:rFonts w:ascii="宋体" w:eastAsia="宋体" w:cs="宋体"/>
          <w:b w:val="0"/>
          <w:color w:val="auto"/>
          <w:sz w:val="24"/>
          <w:szCs w:val="24"/>
        </w:rPr>
        <w:t>21.1 在招标采购中，出现下列情形之一的，评标委员会有权宣布废标：</w:t>
      </w:r>
      <w:bookmarkEnd w:id="1337"/>
      <w:bookmarkEnd w:id="1338"/>
      <w:bookmarkEnd w:id="1339"/>
      <w:bookmarkEnd w:id="1340"/>
      <w:bookmarkEnd w:id="1341"/>
      <w:bookmarkEnd w:id="1342"/>
      <w:bookmarkEnd w:id="1343"/>
      <w:bookmarkEnd w:id="1344"/>
    </w:p>
    <w:p w14:paraId="6AC6DF1F">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345" w:name="_Toc16966"/>
      <w:bookmarkStart w:id="1346" w:name="_Toc29386"/>
      <w:bookmarkStart w:id="1347" w:name="_Toc17297"/>
      <w:bookmarkStart w:id="1348" w:name="_Toc27016"/>
      <w:bookmarkStart w:id="1349" w:name="_Toc14345"/>
      <w:bookmarkStart w:id="1350" w:name="_Toc11594"/>
      <w:bookmarkStart w:id="1351" w:name="_Toc8246"/>
      <w:bookmarkStart w:id="1352" w:name="_Toc19827"/>
      <w:r>
        <w:rPr>
          <w:rFonts w:ascii="宋体" w:eastAsia="宋体" w:cs="宋体"/>
          <w:b w:val="0"/>
          <w:color w:val="auto"/>
          <w:sz w:val="24"/>
          <w:szCs w:val="24"/>
        </w:rPr>
        <w:t xml:space="preserve">21.1.1 </w:t>
      </w:r>
      <w:bookmarkEnd w:id="1345"/>
      <w:bookmarkEnd w:id="1346"/>
      <w:bookmarkEnd w:id="1347"/>
      <w:bookmarkStart w:id="1353" w:name="_Toc26761"/>
      <w:bookmarkStart w:id="1354" w:name="_Toc17859"/>
      <w:bookmarkStart w:id="1355" w:name="_Toc3519"/>
      <w:r>
        <w:rPr>
          <w:rFonts w:ascii="宋体" w:eastAsia="宋体" w:cs="宋体"/>
          <w:b w:val="0"/>
          <w:color w:val="auto"/>
          <w:sz w:val="24"/>
          <w:szCs w:val="24"/>
        </w:rPr>
        <w:t>供应商的报价均超过采购预算，采购人不能支付的；</w:t>
      </w:r>
      <w:bookmarkEnd w:id="1348"/>
      <w:bookmarkEnd w:id="1349"/>
      <w:bookmarkEnd w:id="1350"/>
      <w:bookmarkEnd w:id="1351"/>
      <w:bookmarkEnd w:id="1352"/>
      <w:bookmarkEnd w:id="1353"/>
      <w:bookmarkEnd w:id="1354"/>
      <w:bookmarkEnd w:id="1355"/>
    </w:p>
    <w:p w14:paraId="52810994">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356" w:name="_Toc1873"/>
      <w:bookmarkStart w:id="1357" w:name="_Toc21494"/>
      <w:bookmarkStart w:id="1358" w:name="_Toc25744"/>
      <w:bookmarkStart w:id="1359" w:name="_Toc12124"/>
      <w:bookmarkStart w:id="1360" w:name="_Toc29425"/>
      <w:bookmarkStart w:id="1361" w:name="_Toc16691"/>
      <w:bookmarkStart w:id="1362" w:name="_Toc9658"/>
      <w:bookmarkStart w:id="1363" w:name="_Toc16089"/>
      <w:r>
        <w:rPr>
          <w:rFonts w:ascii="宋体" w:eastAsia="宋体" w:cs="宋体"/>
          <w:b w:val="0"/>
          <w:color w:val="auto"/>
          <w:sz w:val="24"/>
          <w:szCs w:val="24"/>
        </w:rPr>
        <w:t>21.1.2 出现影响采购公正的违法、违规行为的；</w:t>
      </w:r>
      <w:bookmarkEnd w:id="1356"/>
      <w:bookmarkEnd w:id="1357"/>
      <w:bookmarkEnd w:id="1358"/>
      <w:bookmarkEnd w:id="1359"/>
      <w:bookmarkEnd w:id="1360"/>
      <w:bookmarkEnd w:id="1361"/>
      <w:bookmarkEnd w:id="1362"/>
      <w:bookmarkEnd w:id="1363"/>
    </w:p>
    <w:p w14:paraId="71991447">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364" w:name="_Toc14397"/>
      <w:bookmarkStart w:id="1365" w:name="_Toc4123"/>
      <w:bookmarkStart w:id="1366" w:name="_Toc24980"/>
      <w:bookmarkStart w:id="1367" w:name="_Toc11068"/>
      <w:bookmarkStart w:id="1368" w:name="_Toc2259"/>
      <w:bookmarkStart w:id="1369" w:name="_Toc2067"/>
      <w:bookmarkStart w:id="1370" w:name="_Toc14787"/>
      <w:bookmarkStart w:id="1371" w:name="_Toc3230"/>
      <w:r>
        <w:rPr>
          <w:rFonts w:ascii="宋体" w:eastAsia="宋体" w:cs="宋体"/>
          <w:b w:val="0"/>
          <w:color w:val="auto"/>
          <w:sz w:val="24"/>
          <w:szCs w:val="24"/>
        </w:rPr>
        <w:t>21.1.3 因重大变故，采购任务取消的。</w:t>
      </w:r>
      <w:bookmarkEnd w:id="1364"/>
      <w:bookmarkEnd w:id="1365"/>
      <w:bookmarkEnd w:id="1366"/>
      <w:bookmarkEnd w:id="1367"/>
      <w:bookmarkEnd w:id="1368"/>
      <w:bookmarkEnd w:id="1369"/>
      <w:bookmarkEnd w:id="1370"/>
      <w:bookmarkEnd w:id="1371"/>
    </w:p>
    <w:p w14:paraId="16DD379B">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372" w:name="_Toc13374"/>
      <w:bookmarkStart w:id="1373" w:name="_Toc13818"/>
      <w:bookmarkStart w:id="1374" w:name="_Toc29516"/>
      <w:bookmarkStart w:id="1375" w:name="_Toc2781"/>
      <w:bookmarkStart w:id="1376" w:name="_Toc6755"/>
      <w:bookmarkStart w:id="1377" w:name="_Toc8689"/>
      <w:bookmarkStart w:id="1378" w:name="_Toc2608"/>
      <w:bookmarkStart w:id="1379" w:name="_Toc9982"/>
      <w:r>
        <w:rPr>
          <w:rFonts w:ascii="宋体" w:eastAsia="宋体" w:cs="宋体"/>
          <w:b w:val="0"/>
          <w:color w:val="auto"/>
          <w:sz w:val="24"/>
          <w:szCs w:val="24"/>
        </w:rPr>
        <w:t>21.1.4 其他应该废标的情形。</w:t>
      </w:r>
      <w:bookmarkEnd w:id="1372"/>
      <w:bookmarkEnd w:id="1373"/>
      <w:bookmarkEnd w:id="1374"/>
      <w:bookmarkEnd w:id="1375"/>
      <w:bookmarkEnd w:id="1376"/>
      <w:r>
        <w:rPr>
          <w:rFonts w:ascii="宋体" w:eastAsia="宋体" w:cs="宋体"/>
          <w:b w:val="0"/>
          <w:color w:val="auto"/>
          <w:sz w:val="24"/>
          <w:szCs w:val="24"/>
        </w:rPr>
        <w:t xml:space="preserve"> </w:t>
      </w:r>
    </w:p>
    <w:p w14:paraId="765EFD11">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380" w:name="_Toc10916"/>
      <w:bookmarkStart w:id="1381" w:name="_Toc28502"/>
      <w:bookmarkStart w:id="1382" w:name="_Toc2404"/>
      <w:bookmarkStart w:id="1383" w:name="_Toc27568"/>
      <w:bookmarkStart w:id="1384" w:name="_Toc29254"/>
      <w:r>
        <w:rPr>
          <w:rFonts w:ascii="宋体" w:eastAsia="宋体" w:cs="宋体"/>
          <w:b w:val="0"/>
          <w:color w:val="auto"/>
          <w:sz w:val="24"/>
          <w:szCs w:val="24"/>
        </w:rPr>
        <w:t>废标后，采购人会把废标理由通知所有供应商。</w:t>
      </w:r>
      <w:bookmarkEnd w:id="1377"/>
      <w:bookmarkEnd w:id="1378"/>
      <w:bookmarkEnd w:id="1379"/>
      <w:bookmarkEnd w:id="1380"/>
      <w:bookmarkEnd w:id="1381"/>
      <w:bookmarkEnd w:id="1382"/>
      <w:bookmarkEnd w:id="1383"/>
      <w:bookmarkEnd w:id="1384"/>
    </w:p>
    <w:bookmarkEnd w:id="1184"/>
    <w:bookmarkEnd w:id="1185"/>
    <w:bookmarkEnd w:id="1186"/>
    <w:bookmarkEnd w:id="1187"/>
    <w:bookmarkEnd w:id="1188"/>
    <w:p w14:paraId="497F54FD">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eastAsia="宋体" w:cs="宋体"/>
          <w:color w:val="auto"/>
          <w:sz w:val="24"/>
          <w:szCs w:val="24"/>
        </w:rPr>
      </w:pPr>
      <w:bookmarkStart w:id="1385" w:name="_Toc6722"/>
      <w:bookmarkStart w:id="1386" w:name="_Toc6513"/>
      <w:bookmarkStart w:id="1387" w:name="_Toc20563"/>
      <w:bookmarkStart w:id="1388" w:name="_Toc1410"/>
      <w:bookmarkStart w:id="1389" w:name="_Toc31829"/>
      <w:bookmarkStart w:id="1390" w:name="_Toc23660"/>
      <w:r>
        <w:rPr>
          <w:rFonts w:ascii="宋体" w:eastAsia="宋体" w:cs="宋体"/>
          <w:color w:val="auto"/>
          <w:sz w:val="24"/>
          <w:szCs w:val="24"/>
        </w:rPr>
        <w:t>六．定标与签订合同</w:t>
      </w:r>
      <w:bookmarkEnd w:id="1385"/>
      <w:bookmarkEnd w:id="1386"/>
      <w:bookmarkEnd w:id="1387"/>
      <w:bookmarkEnd w:id="1388"/>
      <w:bookmarkEnd w:id="1389"/>
      <w:bookmarkEnd w:id="1390"/>
    </w:p>
    <w:p w14:paraId="7AE95244">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391" w:name="_Toc6993"/>
      <w:bookmarkStart w:id="1392" w:name="_Toc11986"/>
      <w:bookmarkStart w:id="1393" w:name="_Toc26216"/>
      <w:bookmarkStart w:id="1394" w:name="_Toc16254"/>
      <w:bookmarkStart w:id="1395" w:name="_Toc22930"/>
      <w:bookmarkStart w:id="1396" w:name="_Toc11808"/>
      <w:r>
        <w:rPr>
          <w:rFonts w:ascii="宋体" w:eastAsia="宋体" w:cs="宋体"/>
          <w:b w:val="0"/>
          <w:color w:val="auto"/>
          <w:sz w:val="24"/>
          <w:szCs w:val="24"/>
        </w:rPr>
        <w:t>22.定标</w:t>
      </w:r>
      <w:bookmarkEnd w:id="1391"/>
      <w:bookmarkEnd w:id="1392"/>
      <w:bookmarkEnd w:id="1393"/>
      <w:bookmarkEnd w:id="1394"/>
      <w:bookmarkEnd w:id="1395"/>
      <w:bookmarkEnd w:id="1396"/>
    </w:p>
    <w:p w14:paraId="7E16F396">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397" w:name="_Toc24379"/>
      <w:bookmarkStart w:id="1398" w:name="_Toc16602"/>
      <w:bookmarkStart w:id="1399" w:name="_Toc16147"/>
      <w:bookmarkStart w:id="1400" w:name="_Toc9536"/>
      <w:bookmarkStart w:id="1401" w:name="_Toc31920"/>
      <w:bookmarkStart w:id="1402" w:name="_Toc13393"/>
      <w:r>
        <w:rPr>
          <w:rFonts w:ascii="宋体" w:eastAsia="宋体" w:cs="宋体"/>
          <w:b w:val="0"/>
          <w:color w:val="auto"/>
          <w:sz w:val="24"/>
          <w:szCs w:val="24"/>
        </w:rPr>
        <w:t>22.1 投标有效性评审后，评委会应当按磋商文件规定的标准和方法提出独立评审意见，推荐中标候选人。</w:t>
      </w:r>
      <w:bookmarkEnd w:id="1397"/>
      <w:bookmarkEnd w:id="1398"/>
      <w:bookmarkEnd w:id="1399"/>
      <w:bookmarkEnd w:id="1400"/>
      <w:bookmarkEnd w:id="1401"/>
      <w:bookmarkEnd w:id="1402"/>
    </w:p>
    <w:p w14:paraId="5C51B1C0">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403" w:name="_Toc28702"/>
      <w:bookmarkStart w:id="1404" w:name="_Toc25338"/>
      <w:bookmarkStart w:id="1405" w:name="_Toc6179"/>
      <w:bookmarkStart w:id="1406" w:name="_Toc25183"/>
      <w:bookmarkStart w:id="1407" w:name="_Toc7503"/>
      <w:bookmarkStart w:id="1408" w:name="_Toc9542"/>
      <w:r>
        <w:rPr>
          <w:rFonts w:ascii="宋体" w:eastAsia="宋体" w:cs="宋体"/>
          <w:b w:val="0"/>
          <w:color w:val="auto"/>
          <w:sz w:val="24"/>
          <w:szCs w:val="24"/>
        </w:rPr>
        <w:t>22.2 排名第一的中标候选人放弃中标、因不可抗力不能履行合同、不按照磋商文件要求提交履约保证金，或者被查实存在影响中标结果的违法行为等情形，不符合中标条件的，采购人可以按照评标委员会提出的中标候选人名单排序依次确定其他中标候选人为成交供应商，也可以重新招标。</w:t>
      </w:r>
      <w:bookmarkEnd w:id="1403"/>
      <w:bookmarkEnd w:id="1404"/>
      <w:bookmarkEnd w:id="1405"/>
      <w:bookmarkEnd w:id="1406"/>
      <w:bookmarkEnd w:id="1407"/>
      <w:bookmarkEnd w:id="1408"/>
    </w:p>
    <w:p w14:paraId="59142895">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409" w:name="_Toc27833"/>
      <w:bookmarkStart w:id="1410" w:name="_Toc14871"/>
      <w:bookmarkStart w:id="1411" w:name="_Toc14008"/>
      <w:bookmarkStart w:id="1412" w:name="_Toc15514"/>
      <w:bookmarkStart w:id="1413" w:name="_Toc4536"/>
      <w:bookmarkStart w:id="1414" w:name="_Toc4777"/>
      <w:r>
        <w:rPr>
          <w:rFonts w:ascii="宋体" w:eastAsia="宋体" w:cs="宋体"/>
          <w:b w:val="0"/>
          <w:color w:val="auto"/>
          <w:sz w:val="24"/>
          <w:szCs w:val="24"/>
        </w:rPr>
        <w:t>22.3 原则上把合同授予实质上响应磋商文件要求的排名最前的中标候选人或通过上条资格审查的中标候选人。</w:t>
      </w:r>
      <w:bookmarkEnd w:id="1409"/>
      <w:bookmarkEnd w:id="1410"/>
      <w:bookmarkEnd w:id="1411"/>
      <w:bookmarkEnd w:id="1412"/>
      <w:bookmarkEnd w:id="1413"/>
      <w:bookmarkEnd w:id="1414"/>
    </w:p>
    <w:p w14:paraId="1FD9FA1C">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415" w:name="_Toc29915"/>
      <w:bookmarkStart w:id="1416" w:name="_Toc26471"/>
      <w:bookmarkStart w:id="1417" w:name="_Toc10523"/>
      <w:bookmarkStart w:id="1418" w:name="_Toc24007"/>
      <w:bookmarkStart w:id="1419" w:name="_Toc23442"/>
      <w:bookmarkStart w:id="1420" w:name="_Toc28671"/>
      <w:r>
        <w:rPr>
          <w:rFonts w:ascii="宋体" w:eastAsia="宋体" w:cs="宋体"/>
          <w:b w:val="0"/>
          <w:color w:val="auto"/>
          <w:sz w:val="24"/>
          <w:szCs w:val="24"/>
        </w:rPr>
        <w:t>22.4 最低报价并不是被授予合同的保证。</w:t>
      </w:r>
      <w:bookmarkEnd w:id="1415"/>
      <w:bookmarkEnd w:id="1416"/>
      <w:bookmarkEnd w:id="1417"/>
      <w:bookmarkEnd w:id="1418"/>
      <w:bookmarkEnd w:id="1419"/>
      <w:bookmarkEnd w:id="1420"/>
    </w:p>
    <w:p w14:paraId="2DE9D6BF">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421" w:name="_Toc23418"/>
      <w:bookmarkStart w:id="1422" w:name="_Toc14561"/>
      <w:bookmarkStart w:id="1423" w:name="_Toc26261"/>
      <w:bookmarkStart w:id="1424" w:name="_Toc7866"/>
      <w:bookmarkStart w:id="1425" w:name="_Toc28078"/>
      <w:bookmarkStart w:id="1426" w:name="_Toc3137"/>
      <w:r>
        <w:rPr>
          <w:rFonts w:ascii="宋体" w:eastAsia="宋体" w:cs="宋体"/>
          <w:b w:val="0"/>
          <w:color w:val="auto"/>
          <w:sz w:val="24"/>
          <w:szCs w:val="24"/>
        </w:rPr>
        <w:t>22.5 凡发现中标候选人有下列行为之一的，其中标无效，并移交政府采购监督管理部门依法处理：</w:t>
      </w:r>
      <w:bookmarkEnd w:id="1421"/>
      <w:bookmarkEnd w:id="1422"/>
      <w:bookmarkEnd w:id="1423"/>
      <w:bookmarkEnd w:id="1424"/>
      <w:bookmarkEnd w:id="1425"/>
      <w:bookmarkEnd w:id="1426"/>
    </w:p>
    <w:p w14:paraId="39B3D8C6">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427" w:name="_Toc3913"/>
      <w:bookmarkStart w:id="1428" w:name="_Toc2471"/>
      <w:bookmarkStart w:id="1429" w:name="_Toc2628"/>
      <w:bookmarkStart w:id="1430" w:name="_Toc24997"/>
      <w:bookmarkStart w:id="1431" w:name="_Toc16997"/>
      <w:bookmarkStart w:id="1432" w:name="_Toc11364"/>
      <w:r>
        <w:rPr>
          <w:rFonts w:ascii="宋体" w:eastAsia="宋体" w:cs="宋体"/>
          <w:b w:val="0"/>
          <w:color w:val="auto"/>
          <w:sz w:val="24"/>
          <w:szCs w:val="24"/>
        </w:rPr>
        <w:t>22.5.1 以他人名义投标、或提供虚假材料弄虚作假谋取中标的；</w:t>
      </w:r>
      <w:bookmarkEnd w:id="1427"/>
      <w:bookmarkEnd w:id="1428"/>
      <w:bookmarkEnd w:id="1429"/>
      <w:bookmarkEnd w:id="1430"/>
      <w:bookmarkEnd w:id="1431"/>
      <w:bookmarkEnd w:id="1432"/>
    </w:p>
    <w:p w14:paraId="401D4E7B">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433" w:name="_Toc29859"/>
      <w:bookmarkStart w:id="1434" w:name="_Toc16714"/>
      <w:bookmarkStart w:id="1435" w:name="_Toc20210"/>
      <w:bookmarkStart w:id="1436" w:name="_Toc14626"/>
      <w:bookmarkStart w:id="1437" w:name="_Toc5900"/>
      <w:bookmarkStart w:id="1438" w:name="_Toc16829"/>
      <w:r>
        <w:rPr>
          <w:rFonts w:ascii="宋体" w:eastAsia="宋体" w:cs="宋体"/>
          <w:b w:val="0"/>
          <w:color w:val="auto"/>
          <w:sz w:val="24"/>
          <w:szCs w:val="24"/>
        </w:rPr>
        <w:t>22.5.1.1 以他人名义投标，是指使用通过受让或者租借等方式获取的资格、资质证书投标。</w:t>
      </w:r>
      <w:bookmarkEnd w:id="1433"/>
      <w:bookmarkEnd w:id="1434"/>
      <w:bookmarkEnd w:id="1435"/>
      <w:bookmarkEnd w:id="1436"/>
      <w:bookmarkEnd w:id="1437"/>
      <w:bookmarkEnd w:id="1438"/>
    </w:p>
    <w:p w14:paraId="06476FC1">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439" w:name="_Toc27769"/>
      <w:bookmarkStart w:id="1440" w:name="_Toc1253"/>
      <w:bookmarkStart w:id="1441" w:name="_Toc4419"/>
      <w:bookmarkStart w:id="1442" w:name="_Toc7465"/>
      <w:bookmarkStart w:id="1443" w:name="_Toc14482"/>
      <w:bookmarkStart w:id="1444" w:name="_Toc15632"/>
      <w:r>
        <w:rPr>
          <w:rFonts w:ascii="宋体" w:eastAsia="宋体" w:cs="宋体"/>
          <w:b w:val="0"/>
          <w:color w:val="auto"/>
          <w:sz w:val="24"/>
          <w:szCs w:val="24"/>
        </w:rPr>
        <w:t>22.5.1.2 有供应商有下列情形之一的，属于弄虚作假的行为：</w:t>
      </w:r>
      <w:bookmarkEnd w:id="1439"/>
      <w:bookmarkEnd w:id="1440"/>
      <w:bookmarkEnd w:id="1441"/>
      <w:bookmarkEnd w:id="1442"/>
      <w:bookmarkEnd w:id="1443"/>
      <w:bookmarkEnd w:id="1444"/>
    </w:p>
    <w:p w14:paraId="10CB900B">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445" w:name="_Toc2911"/>
      <w:bookmarkStart w:id="1446" w:name="_Toc28576"/>
      <w:bookmarkStart w:id="1447" w:name="_Toc28449"/>
      <w:bookmarkStart w:id="1448" w:name="_Toc28378"/>
      <w:bookmarkStart w:id="1449" w:name="_Toc17598"/>
      <w:bookmarkStart w:id="1450" w:name="_Toc11752"/>
      <w:r>
        <w:rPr>
          <w:rFonts w:ascii="宋体" w:eastAsia="宋体" w:cs="宋体"/>
          <w:b w:val="0"/>
          <w:color w:val="auto"/>
          <w:sz w:val="24"/>
          <w:szCs w:val="24"/>
        </w:rPr>
        <w:t>22.5.1.2.1 使用伪造、变造的许可证件；</w:t>
      </w:r>
      <w:bookmarkEnd w:id="1445"/>
      <w:bookmarkEnd w:id="1446"/>
      <w:bookmarkEnd w:id="1447"/>
      <w:bookmarkEnd w:id="1448"/>
      <w:bookmarkEnd w:id="1449"/>
      <w:bookmarkEnd w:id="1450"/>
    </w:p>
    <w:p w14:paraId="76460B9F">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451" w:name="_Toc3471"/>
      <w:bookmarkStart w:id="1452" w:name="_Toc10278"/>
      <w:bookmarkStart w:id="1453" w:name="_Toc699"/>
      <w:bookmarkStart w:id="1454" w:name="_Toc8917"/>
      <w:bookmarkStart w:id="1455" w:name="_Toc9588"/>
      <w:bookmarkStart w:id="1456" w:name="_Toc21206"/>
      <w:r>
        <w:rPr>
          <w:rFonts w:ascii="宋体" w:eastAsia="宋体" w:cs="宋体"/>
          <w:b w:val="0"/>
          <w:color w:val="auto"/>
          <w:sz w:val="24"/>
          <w:szCs w:val="24"/>
        </w:rPr>
        <w:t>22.5.1.2.2 提供虚假的财务状况或者业绩；</w:t>
      </w:r>
      <w:bookmarkEnd w:id="1451"/>
      <w:bookmarkEnd w:id="1452"/>
      <w:bookmarkEnd w:id="1453"/>
      <w:bookmarkEnd w:id="1454"/>
      <w:bookmarkEnd w:id="1455"/>
      <w:bookmarkEnd w:id="1456"/>
    </w:p>
    <w:p w14:paraId="1D880C9D">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457" w:name="_Toc9102"/>
      <w:bookmarkStart w:id="1458" w:name="_Toc19109"/>
      <w:bookmarkStart w:id="1459" w:name="_Toc24050"/>
      <w:bookmarkStart w:id="1460" w:name="_Toc3126"/>
      <w:bookmarkStart w:id="1461" w:name="_Toc10108"/>
      <w:bookmarkStart w:id="1462" w:name="_Toc11272"/>
      <w:r>
        <w:rPr>
          <w:rFonts w:ascii="宋体" w:eastAsia="宋体" w:cs="宋体"/>
          <w:b w:val="0"/>
          <w:color w:val="auto"/>
          <w:sz w:val="24"/>
          <w:szCs w:val="24"/>
        </w:rPr>
        <w:t>22.5.1.2.3 提供虚假的项目负责人或者主要技术人员简历、劳动关系证明；</w:t>
      </w:r>
      <w:bookmarkEnd w:id="1457"/>
      <w:bookmarkEnd w:id="1458"/>
      <w:bookmarkEnd w:id="1459"/>
      <w:bookmarkEnd w:id="1460"/>
      <w:bookmarkEnd w:id="1461"/>
      <w:bookmarkEnd w:id="1462"/>
    </w:p>
    <w:p w14:paraId="3FF965B8">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463" w:name="_Toc6857"/>
      <w:bookmarkStart w:id="1464" w:name="_Toc31838"/>
      <w:bookmarkStart w:id="1465" w:name="_Toc31694"/>
      <w:bookmarkStart w:id="1466" w:name="_Toc25548"/>
      <w:bookmarkStart w:id="1467" w:name="_Toc8005"/>
      <w:bookmarkStart w:id="1468" w:name="_Toc21726"/>
      <w:r>
        <w:rPr>
          <w:rFonts w:ascii="宋体" w:eastAsia="宋体" w:cs="宋体"/>
          <w:b w:val="0"/>
          <w:color w:val="auto"/>
          <w:sz w:val="24"/>
          <w:szCs w:val="24"/>
        </w:rPr>
        <w:t>22.5.1.2.4 提供虚假的信用状况；</w:t>
      </w:r>
      <w:bookmarkEnd w:id="1463"/>
      <w:bookmarkEnd w:id="1464"/>
      <w:bookmarkEnd w:id="1465"/>
      <w:bookmarkEnd w:id="1466"/>
      <w:bookmarkEnd w:id="1467"/>
      <w:bookmarkEnd w:id="1468"/>
    </w:p>
    <w:p w14:paraId="6EAB7EF5">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469" w:name="_Toc2279"/>
      <w:bookmarkStart w:id="1470" w:name="_Toc25255"/>
      <w:bookmarkStart w:id="1471" w:name="_Toc16719"/>
      <w:bookmarkStart w:id="1472" w:name="_Toc24147"/>
      <w:bookmarkStart w:id="1473" w:name="_Toc21893"/>
      <w:bookmarkStart w:id="1474" w:name="_Toc26520"/>
      <w:r>
        <w:rPr>
          <w:rFonts w:ascii="宋体" w:eastAsia="宋体" w:cs="宋体"/>
          <w:b w:val="0"/>
          <w:color w:val="auto"/>
          <w:sz w:val="24"/>
          <w:szCs w:val="24"/>
        </w:rPr>
        <w:t>22.5.1.2.5 其他弄虚作假的行为。</w:t>
      </w:r>
      <w:bookmarkEnd w:id="1469"/>
      <w:bookmarkEnd w:id="1470"/>
      <w:bookmarkEnd w:id="1471"/>
      <w:bookmarkEnd w:id="1472"/>
      <w:bookmarkEnd w:id="1473"/>
      <w:bookmarkEnd w:id="1474"/>
    </w:p>
    <w:p w14:paraId="07C5823A">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475" w:name="_Toc7521"/>
      <w:bookmarkStart w:id="1476" w:name="_Toc24368"/>
      <w:bookmarkStart w:id="1477" w:name="_Toc25675"/>
      <w:bookmarkStart w:id="1478" w:name="_Toc23193"/>
      <w:bookmarkStart w:id="1479" w:name="_Toc15326"/>
      <w:bookmarkStart w:id="1480" w:name="_Toc15248"/>
      <w:r>
        <w:rPr>
          <w:rFonts w:ascii="宋体" w:eastAsia="宋体" w:cs="宋体"/>
          <w:b w:val="0"/>
          <w:color w:val="auto"/>
          <w:sz w:val="24"/>
          <w:szCs w:val="24"/>
        </w:rPr>
        <w:t>22.5.2 与采购人、其他供应商或者采购人工作人员恶意串通的；</w:t>
      </w:r>
      <w:bookmarkEnd w:id="1475"/>
      <w:bookmarkEnd w:id="1476"/>
      <w:bookmarkEnd w:id="1477"/>
      <w:bookmarkEnd w:id="1478"/>
      <w:bookmarkEnd w:id="1479"/>
      <w:bookmarkEnd w:id="1480"/>
    </w:p>
    <w:p w14:paraId="3D20E4DD">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481" w:name="_Toc23234"/>
      <w:bookmarkStart w:id="1482" w:name="_Toc24272"/>
      <w:bookmarkStart w:id="1483" w:name="_Toc7279"/>
      <w:bookmarkStart w:id="1484" w:name="_Toc8365"/>
      <w:bookmarkStart w:id="1485" w:name="_Toc29741"/>
      <w:bookmarkStart w:id="1486" w:name="_Toc20664"/>
      <w:r>
        <w:rPr>
          <w:rFonts w:ascii="宋体" w:eastAsia="宋体" w:cs="宋体"/>
          <w:b w:val="0"/>
          <w:color w:val="auto"/>
          <w:sz w:val="24"/>
          <w:szCs w:val="24"/>
        </w:rPr>
        <w:t>22.5.3 向采购人、评审专家、采购人工作人员行贿或者提供其他不正当利益的；</w:t>
      </w:r>
      <w:bookmarkEnd w:id="1481"/>
      <w:bookmarkEnd w:id="1482"/>
      <w:bookmarkEnd w:id="1483"/>
      <w:bookmarkEnd w:id="1484"/>
      <w:bookmarkEnd w:id="1485"/>
      <w:bookmarkEnd w:id="1486"/>
    </w:p>
    <w:p w14:paraId="53A73168">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487" w:name="_Toc31129"/>
      <w:bookmarkStart w:id="1488" w:name="_Toc18271"/>
      <w:bookmarkStart w:id="1489" w:name="_Toc16459"/>
      <w:bookmarkStart w:id="1490" w:name="_Toc9019"/>
      <w:bookmarkStart w:id="1491" w:name="_Toc12334"/>
      <w:bookmarkStart w:id="1492" w:name="_Toc22489"/>
      <w:r>
        <w:rPr>
          <w:rFonts w:ascii="宋体" w:eastAsia="宋体" w:cs="宋体"/>
          <w:b w:val="0"/>
          <w:color w:val="auto"/>
          <w:sz w:val="24"/>
          <w:szCs w:val="24"/>
        </w:rPr>
        <w:t>22.5.4 有法律、法规规定的其他损害采购人利益和社会公共利益情形的；</w:t>
      </w:r>
      <w:bookmarkEnd w:id="1487"/>
      <w:bookmarkEnd w:id="1488"/>
      <w:bookmarkEnd w:id="1489"/>
      <w:bookmarkEnd w:id="1490"/>
      <w:bookmarkEnd w:id="1491"/>
      <w:bookmarkEnd w:id="1492"/>
    </w:p>
    <w:p w14:paraId="33AD86E0">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493" w:name="_Toc18685"/>
      <w:bookmarkStart w:id="1494" w:name="_Toc27373"/>
      <w:bookmarkStart w:id="1495" w:name="_Toc6602"/>
      <w:bookmarkStart w:id="1496" w:name="_Toc23139"/>
      <w:bookmarkStart w:id="1497" w:name="_Toc19146"/>
      <w:bookmarkStart w:id="1498" w:name="_Toc15321"/>
      <w:r>
        <w:rPr>
          <w:rFonts w:ascii="宋体" w:eastAsia="宋体" w:cs="宋体"/>
          <w:b w:val="0"/>
          <w:color w:val="auto"/>
          <w:sz w:val="24"/>
          <w:szCs w:val="24"/>
        </w:rPr>
        <w:t>22.5.5 其他违反招投标法律、法规和规章强制性规定的行为。</w:t>
      </w:r>
      <w:bookmarkEnd w:id="1493"/>
      <w:bookmarkEnd w:id="1494"/>
      <w:bookmarkEnd w:id="1495"/>
      <w:bookmarkEnd w:id="1496"/>
      <w:bookmarkEnd w:id="1497"/>
      <w:bookmarkEnd w:id="1498"/>
    </w:p>
    <w:p w14:paraId="522B7D54">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499" w:name="_Toc1127"/>
      <w:bookmarkStart w:id="1500" w:name="_Toc15088"/>
      <w:bookmarkStart w:id="1501" w:name="_Toc228"/>
      <w:bookmarkStart w:id="1502" w:name="_Toc32303"/>
      <w:bookmarkStart w:id="1503" w:name="_Toc16327"/>
      <w:bookmarkStart w:id="1504" w:name="_Toc30919"/>
      <w:r>
        <w:rPr>
          <w:rFonts w:ascii="宋体" w:eastAsia="宋体" w:cs="宋体"/>
          <w:b w:val="0"/>
          <w:color w:val="auto"/>
          <w:sz w:val="24"/>
          <w:szCs w:val="24"/>
        </w:rPr>
        <w:t>22.6 采购人将在网站上发布评审结果公告，公告时间为一个工作日。</w:t>
      </w:r>
      <w:bookmarkEnd w:id="1499"/>
      <w:bookmarkEnd w:id="1500"/>
      <w:bookmarkEnd w:id="1501"/>
      <w:bookmarkEnd w:id="1502"/>
      <w:bookmarkEnd w:id="1503"/>
      <w:bookmarkEnd w:id="1504"/>
    </w:p>
    <w:p w14:paraId="41ECA72A">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505" w:name="_Toc22831"/>
      <w:bookmarkStart w:id="1506" w:name="_Toc16750"/>
      <w:bookmarkStart w:id="1507" w:name="_Toc7120"/>
      <w:bookmarkStart w:id="1508" w:name="_Toc7839"/>
      <w:bookmarkStart w:id="1509" w:name="_Toc27391"/>
      <w:bookmarkStart w:id="1510" w:name="_Toc3133"/>
      <w:r>
        <w:rPr>
          <w:rFonts w:ascii="宋体" w:eastAsia="宋体" w:cs="宋体"/>
          <w:b w:val="0"/>
          <w:color w:val="auto"/>
          <w:sz w:val="24"/>
          <w:szCs w:val="24"/>
        </w:rPr>
        <w:t>23.中标通知书</w:t>
      </w:r>
      <w:bookmarkEnd w:id="1505"/>
      <w:bookmarkEnd w:id="1506"/>
      <w:bookmarkEnd w:id="1507"/>
      <w:bookmarkEnd w:id="1508"/>
      <w:bookmarkEnd w:id="1509"/>
      <w:bookmarkEnd w:id="1510"/>
    </w:p>
    <w:p w14:paraId="1D98FF3D">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511" w:name="_Toc13989"/>
      <w:bookmarkStart w:id="1512" w:name="_Toc1486"/>
      <w:bookmarkStart w:id="1513" w:name="_Toc6555"/>
      <w:bookmarkStart w:id="1514" w:name="_Toc32658"/>
      <w:bookmarkStart w:id="1515" w:name="_Toc23709"/>
      <w:bookmarkStart w:id="1516" w:name="_Toc29224"/>
      <w:r>
        <w:rPr>
          <w:rFonts w:ascii="宋体" w:eastAsia="宋体" w:cs="宋体"/>
          <w:b w:val="0"/>
          <w:color w:val="auto"/>
          <w:sz w:val="24"/>
          <w:szCs w:val="24"/>
        </w:rPr>
        <w:t>23.1 采购人将以中标通知书形式通知成交供应商，其投标已被接受。</w:t>
      </w:r>
      <w:bookmarkEnd w:id="1511"/>
      <w:bookmarkEnd w:id="1512"/>
      <w:bookmarkEnd w:id="1513"/>
      <w:bookmarkEnd w:id="1514"/>
      <w:bookmarkEnd w:id="1515"/>
      <w:bookmarkEnd w:id="1516"/>
    </w:p>
    <w:p w14:paraId="6E180C4B">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517" w:name="_Toc4115"/>
      <w:bookmarkStart w:id="1518" w:name="_Toc9477"/>
      <w:bookmarkStart w:id="1519" w:name="_Toc6298"/>
      <w:bookmarkStart w:id="1520" w:name="_Toc20104"/>
      <w:bookmarkStart w:id="1521" w:name="_Toc18832"/>
      <w:bookmarkStart w:id="1522" w:name="_Toc24712"/>
      <w:r>
        <w:rPr>
          <w:rFonts w:ascii="宋体" w:eastAsia="宋体" w:cs="宋体"/>
          <w:b w:val="0"/>
          <w:color w:val="auto"/>
          <w:sz w:val="24"/>
          <w:szCs w:val="24"/>
        </w:rPr>
        <w:t>23.2 采购人对未中标的供应商不做未中标原因的解释。</w:t>
      </w:r>
      <w:bookmarkEnd w:id="1517"/>
      <w:bookmarkEnd w:id="1518"/>
      <w:bookmarkEnd w:id="1519"/>
      <w:bookmarkEnd w:id="1520"/>
      <w:bookmarkEnd w:id="1521"/>
      <w:bookmarkEnd w:id="1522"/>
    </w:p>
    <w:bookmarkEnd w:id="523"/>
    <w:bookmarkEnd w:id="524"/>
    <w:bookmarkEnd w:id="525"/>
    <w:p w14:paraId="69E42A5B">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523" w:name="_Toc22673"/>
      <w:bookmarkStart w:id="1524" w:name="_Toc19636"/>
      <w:bookmarkStart w:id="1525" w:name="_Toc8188"/>
      <w:bookmarkStart w:id="1526" w:name="_Toc11616"/>
      <w:r>
        <w:rPr>
          <w:rFonts w:ascii="宋体" w:eastAsia="宋体" w:cs="宋体"/>
          <w:b w:val="0"/>
          <w:color w:val="auto"/>
          <w:sz w:val="24"/>
          <w:szCs w:val="24"/>
        </w:rPr>
        <w:t>2</w:t>
      </w:r>
      <w:r>
        <w:rPr>
          <w:rFonts w:hint="eastAsia" w:ascii="宋体" w:eastAsia="宋体" w:cs="宋体"/>
          <w:b w:val="0"/>
          <w:color w:val="auto"/>
          <w:sz w:val="24"/>
          <w:szCs w:val="24"/>
          <w:lang w:val="en-US" w:eastAsia="zh-CN"/>
        </w:rPr>
        <w:t>4</w:t>
      </w:r>
      <w:r>
        <w:rPr>
          <w:rFonts w:ascii="宋体" w:eastAsia="宋体" w:cs="宋体"/>
          <w:b w:val="0"/>
          <w:color w:val="auto"/>
          <w:sz w:val="24"/>
          <w:szCs w:val="24"/>
        </w:rPr>
        <w:t>.履约保证金</w:t>
      </w:r>
      <w:bookmarkEnd w:id="1523"/>
      <w:bookmarkEnd w:id="1524"/>
      <w:bookmarkEnd w:id="1525"/>
      <w:r>
        <w:rPr>
          <w:rFonts w:ascii="宋体" w:eastAsia="宋体" w:cs="宋体"/>
          <w:b w:val="0"/>
          <w:color w:val="auto"/>
          <w:sz w:val="24"/>
          <w:szCs w:val="24"/>
        </w:rPr>
        <w:t>（见前附表）</w:t>
      </w:r>
      <w:bookmarkEnd w:id="1526"/>
    </w:p>
    <w:p w14:paraId="2E5F5870">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eastAsia="宋体" w:cs="宋体"/>
          <w:b w:val="0"/>
          <w:color w:val="auto"/>
          <w:sz w:val="24"/>
          <w:szCs w:val="24"/>
        </w:rPr>
      </w:pPr>
      <w:bookmarkStart w:id="1527" w:name="_Toc23018"/>
      <w:bookmarkStart w:id="1528" w:name="_Toc29048"/>
      <w:bookmarkStart w:id="1529" w:name="_Toc8982"/>
      <w:bookmarkStart w:id="1530" w:name="_Toc1271"/>
      <w:r>
        <w:rPr>
          <w:rFonts w:ascii="宋体" w:eastAsia="宋体" w:cs="宋体"/>
          <w:b w:val="0"/>
          <w:color w:val="auto"/>
          <w:sz w:val="24"/>
          <w:szCs w:val="24"/>
        </w:rPr>
        <w:t>2</w:t>
      </w:r>
      <w:r>
        <w:rPr>
          <w:rFonts w:hint="eastAsia" w:ascii="宋体" w:eastAsia="宋体" w:cs="宋体"/>
          <w:b w:val="0"/>
          <w:color w:val="auto"/>
          <w:sz w:val="24"/>
          <w:szCs w:val="24"/>
          <w:lang w:val="en-US" w:eastAsia="zh-CN"/>
        </w:rPr>
        <w:t>5</w:t>
      </w:r>
      <w:r>
        <w:rPr>
          <w:rFonts w:ascii="宋体" w:eastAsia="宋体" w:cs="宋体"/>
          <w:b w:val="0"/>
          <w:color w:val="auto"/>
          <w:sz w:val="24"/>
          <w:szCs w:val="24"/>
        </w:rPr>
        <w:t>.签订合同</w:t>
      </w:r>
      <w:bookmarkEnd w:id="1527"/>
      <w:bookmarkEnd w:id="1528"/>
      <w:bookmarkEnd w:id="1529"/>
      <w:bookmarkEnd w:id="1530"/>
    </w:p>
    <w:p w14:paraId="0301B3BA">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color w:val="auto"/>
          <w:sz w:val="24"/>
        </w:rPr>
      </w:pPr>
      <w:bookmarkStart w:id="1531" w:name="_Toc12938"/>
      <w:bookmarkStart w:id="1532" w:name="_Toc18623"/>
      <w:r>
        <w:rPr>
          <w:rFonts w:hint="eastAsia" w:ascii="宋体" w:hAnsi="宋体" w:eastAsia="宋体" w:cs="宋体"/>
          <w:color w:val="auto"/>
          <w:sz w:val="24"/>
        </w:rPr>
        <w:t>2</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.1 </w:t>
      </w:r>
      <w:bookmarkEnd w:id="1531"/>
      <w:bookmarkEnd w:id="1532"/>
      <w:bookmarkStart w:id="1533" w:name="_Toc32196"/>
      <w:bookmarkStart w:id="1534" w:name="_Toc14467"/>
      <w:r>
        <w:rPr>
          <w:rFonts w:hint="eastAsia" w:ascii="宋体" w:hAnsi="宋体" w:eastAsia="宋体" w:cs="宋体"/>
          <w:color w:val="auto"/>
          <w:sz w:val="24"/>
        </w:rPr>
        <w:t>成交供应商应在中标通知书发出之日起十日内（具体时间、地点见中标通知书）与采购人签订合同。逾期未签订合同，按照《政府采购非招标采购方式管理办法》（财政部第74号令）第五十四条规定，成交供应商未按照采购文件确定的事项签订政府采购合同，或者与采购人另行订立背离合同实质性内容的协议的，责令限期改正，情节严重的，列入不良行为记录名单，在1至3年内禁止参加政府采购活动，并予以通报。此外，中标（成交）供应商无正当理由不与采购人签订合同，还应承担民事缔约过失责任。磋商文件、成交供应商的投标文件及澄清文件等，均作为合同的附件。合同签订前成交供应商应向采购人出示中标服务费和履约保证金缴纳证明。</w:t>
      </w:r>
    </w:p>
    <w:p w14:paraId="33AF629C">
      <w:pPr>
        <w:pStyle w:val="8"/>
        <w:widowControl/>
        <w:spacing w:line="380" w:lineRule="exact"/>
        <w:rPr>
          <w:rFonts w:hint="default" w:ascii="宋体" w:eastAsia="宋体" w:cs="宋体"/>
          <w:b w:val="0"/>
          <w:color w:val="auto"/>
          <w:sz w:val="24"/>
          <w:szCs w:val="24"/>
        </w:rPr>
      </w:pPr>
      <w:bookmarkStart w:id="1535" w:name="_Toc7417"/>
      <w:bookmarkStart w:id="1536" w:name="_Toc28219"/>
      <w:r>
        <w:rPr>
          <w:rFonts w:ascii="宋体" w:eastAsia="宋体" w:cs="宋体"/>
          <w:b w:val="0"/>
          <w:color w:val="auto"/>
          <w:sz w:val="24"/>
          <w:szCs w:val="24"/>
        </w:rPr>
        <w:t>2</w:t>
      </w:r>
      <w:r>
        <w:rPr>
          <w:rFonts w:hint="eastAsia" w:ascii="宋体" w:eastAsia="宋体" w:cs="宋体"/>
          <w:b w:val="0"/>
          <w:color w:val="auto"/>
          <w:sz w:val="24"/>
          <w:szCs w:val="24"/>
          <w:lang w:val="en-US" w:eastAsia="zh-CN"/>
        </w:rPr>
        <w:t>5</w:t>
      </w:r>
      <w:r>
        <w:rPr>
          <w:rFonts w:ascii="宋体" w:eastAsia="宋体" w:cs="宋体"/>
          <w:b w:val="0"/>
          <w:color w:val="auto"/>
          <w:sz w:val="24"/>
          <w:szCs w:val="24"/>
        </w:rPr>
        <w:t>.2 采购双方必须严格按照磋商文件、投标文件及有关承诺签订采购合同，不得擅自变更。合同的标的、价款、质量、履行期限等主要条款应当与磋商文件和成交供应商的投标文件的内容一致，采购人和成交供应商不得再行订立背离合同实质性内容的其他协议。</w:t>
      </w:r>
      <w:bookmarkEnd w:id="1533"/>
      <w:bookmarkEnd w:id="1534"/>
      <w:bookmarkEnd w:id="1535"/>
      <w:bookmarkEnd w:id="1536"/>
    </w:p>
    <w:p w14:paraId="70FB165E">
      <w:pPr>
        <w:pStyle w:val="8"/>
        <w:widowControl/>
        <w:spacing w:line="380" w:lineRule="exact"/>
        <w:rPr>
          <w:rFonts w:hint="default" w:ascii="宋体" w:eastAsia="宋体" w:cs="宋体"/>
          <w:b w:val="0"/>
          <w:color w:val="auto"/>
          <w:sz w:val="24"/>
          <w:szCs w:val="24"/>
        </w:rPr>
      </w:pPr>
      <w:bookmarkStart w:id="1537" w:name="_Toc11587"/>
      <w:bookmarkStart w:id="1538" w:name="_Toc14225"/>
      <w:bookmarkStart w:id="1539" w:name="_Toc29314"/>
      <w:bookmarkStart w:id="1540" w:name="_Toc363"/>
      <w:r>
        <w:rPr>
          <w:rFonts w:ascii="宋体" w:eastAsia="宋体" w:cs="宋体"/>
          <w:b w:val="0"/>
          <w:color w:val="auto"/>
          <w:sz w:val="24"/>
          <w:szCs w:val="24"/>
        </w:rPr>
        <w:t>对任何因双方擅自变更合同引起的问题采购人概不负责，合同风险由双方自行承</w:t>
      </w:r>
      <w:bookmarkEnd w:id="1537"/>
      <w:bookmarkEnd w:id="1538"/>
      <w:bookmarkEnd w:id="1539"/>
      <w:r>
        <w:rPr>
          <w:rFonts w:ascii="宋体" w:eastAsia="宋体" w:cs="宋体"/>
          <w:b w:val="0"/>
          <w:color w:val="auto"/>
          <w:sz w:val="24"/>
          <w:szCs w:val="24"/>
        </w:rPr>
        <w:t>但。</w:t>
      </w:r>
      <w:bookmarkEnd w:id="1540"/>
    </w:p>
    <w:p w14:paraId="374D9FCA">
      <w:pPr>
        <w:pStyle w:val="8"/>
        <w:widowControl/>
        <w:spacing w:line="380" w:lineRule="exact"/>
        <w:rPr>
          <w:rFonts w:hint="default" w:ascii="宋体" w:eastAsia="宋体" w:cs="宋体"/>
          <w:b w:val="0"/>
          <w:color w:val="auto"/>
          <w:sz w:val="24"/>
          <w:szCs w:val="24"/>
        </w:rPr>
      </w:pPr>
      <w:bookmarkStart w:id="1541" w:name="_Toc2289"/>
      <w:bookmarkStart w:id="1542" w:name="_Toc1911"/>
      <w:bookmarkStart w:id="1543" w:name="_Toc15776"/>
      <w:bookmarkStart w:id="1544" w:name="_Toc4165"/>
      <w:r>
        <w:rPr>
          <w:rFonts w:ascii="宋体" w:eastAsia="宋体" w:cs="宋体"/>
          <w:b w:val="0"/>
          <w:color w:val="auto"/>
          <w:sz w:val="24"/>
          <w:szCs w:val="24"/>
        </w:rPr>
        <w:t>2</w:t>
      </w:r>
      <w:r>
        <w:rPr>
          <w:rFonts w:hint="eastAsia" w:ascii="宋体" w:eastAsia="宋体" w:cs="宋体"/>
          <w:b w:val="0"/>
          <w:color w:val="auto"/>
          <w:sz w:val="24"/>
          <w:szCs w:val="24"/>
          <w:lang w:val="en-US" w:eastAsia="zh-CN"/>
        </w:rPr>
        <w:t>5</w:t>
      </w:r>
      <w:r>
        <w:rPr>
          <w:rFonts w:ascii="宋体" w:eastAsia="宋体" w:cs="宋体"/>
          <w:b w:val="0"/>
          <w:color w:val="auto"/>
          <w:sz w:val="24"/>
          <w:szCs w:val="24"/>
        </w:rPr>
        <w:t>.3 采购人保留以书面形式要求合同的卖方对其所投货物的装运方式、交货地点及服务细则等作适当调整的权利。</w:t>
      </w:r>
      <w:bookmarkEnd w:id="1541"/>
      <w:bookmarkEnd w:id="1542"/>
      <w:bookmarkEnd w:id="1543"/>
      <w:bookmarkEnd w:id="1544"/>
    </w:p>
    <w:p w14:paraId="2E75E74D">
      <w:pPr>
        <w:pStyle w:val="8"/>
        <w:widowControl/>
        <w:spacing w:line="380" w:lineRule="exact"/>
        <w:rPr>
          <w:rFonts w:hint="default" w:ascii="宋体" w:eastAsia="宋体" w:cs="宋体"/>
          <w:b w:val="0"/>
          <w:color w:val="auto"/>
          <w:sz w:val="24"/>
          <w:szCs w:val="24"/>
        </w:rPr>
      </w:pPr>
      <w:bookmarkStart w:id="1545" w:name="_Toc449"/>
      <w:bookmarkStart w:id="1546" w:name="_Toc19387"/>
      <w:bookmarkStart w:id="1547" w:name="_Toc16760"/>
      <w:bookmarkStart w:id="1548" w:name="_Toc13605"/>
      <w:r>
        <w:rPr>
          <w:rFonts w:ascii="宋体" w:eastAsia="宋体" w:cs="宋体"/>
          <w:b w:val="0"/>
          <w:color w:val="auto"/>
          <w:sz w:val="24"/>
          <w:szCs w:val="24"/>
        </w:rPr>
        <w:t>2</w:t>
      </w:r>
      <w:r>
        <w:rPr>
          <w:rFonts w:hint="eastAsia" w:ascii="宋体" w:eastAsia="宋体" w:cs="宋体"/>
          <w:b w:val="0"/>
          <w:color w:val="auto"/>
          <w:sz w:val="24"/>
          <w:szCs w:val="24"/>
          <w:lang w:val="en-US" w:eastAsia="zh-CN"/>
        </w:rPr>
        <w:t>5</w:t>
      </w:r>
      <w:r>
        <w:rPr>
          <w:rFonts w:ascii="宋体" w:eastAsia="宋体" w:cs="宋体"/>
          <w:b w:val="0"/>
          <w:color w:val="auto"/>
          <w:sz w:val="24"/>
          <w:szCs w:val="24"/>
        </w:rPr>
        <w:t>.4 无论基于何种原因，各项本应作拒绝处理的情形即便未被及时发现而使该供应商进入初审、详细评审或其它后续程序，包括已经签约的情形，一旦在任何时间被发现，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由该供应商自行承担。</w:t>
      </w:r>
      <w:bookmarkEnd w:id="1545"/>
      <w:bookmarkEnd w:id="1546"/>
      <w:bookmarkEnd w:id="1547"/>
      <w:bookmarkEnd w:id="1548"/>
    </w:p>
    <w:p w14:paraId="0C631244">
      <w:pPr>
        <w:pStyle w:val="8"/>
        <w:widowControl/>
        <w:spacing w:line="380" w:lineRule="exact"/>
        <w:rPr>
          <w:rFonts w:hint="default" w:ascii="宋体" w:eastAsia="宋体" w:cs="宋体"/>
          <w:b w:val="0"/>
          <w:color w:val="auto"/>
          <w:sz w:val="24"/>
          <w:szCs w:val="24"/>
        </w:rPr>
      </w:pPr>
      <w:bookmarkStart w:id="1549" w:name="_Toc6851"/>
      <w:bookmarkStart w:id="1550" w:name="_Toc8608"/>
      <w:bookmarkStart w:id="1551" w:name="_Toc8057"/>
      <w:bookmarkStart w:id="1552" w:name="_Toc760"/>
      <w:r>
        <w:rPr>
          <w:rFonts w:ascii="宋体" w:eastAsia="宋体" w:cs="宋体"/>
          <w:b w:val="0"/>
          <w:color w:val="auto"/>
          <w:sz w:val="24"/>
          <w:szCs w:val="24"/>
        </w:rPr>
        <w:t>2</w:t>
      </w:r>
      <w:r>
        <w:rPr>
          <w:rFonts w:hint="eastAsia" w:ascii="宋体" w:eastAsia="宋体" w:cs="宋体"/>
          <w:b w:val="0"/>
          <w:color w:val="auto"/>
          <w:sz w:val="24"/>
          <w:szCs w:val="24"/>
          <w:lang w:val="en-US" w:eastAsia="zh-CN"/>
        </w:rPr>
        <w:t>6</w:t>
      </w:r>
      <w:r>
        <w:rPr>
          <w:rFonts w:ascii="宋体" w:eastAsia="宋体" w:cs="宋体"/>
          <w:b w:val="0"/>
          <w:color w:val="auto"/>
          <w:sz w:val="24"/>
          <w:szCs w:val="24"/>
        </w:rPr>
        <w:t>.验收</w:t>
      </w:r>
      <w:bookmarkEnd w:id="1549"/>
      <w:bookmarkEnd w:id="1550"/>
      <w:bookmarkEnd w:id="1551"/>
      <w:bookmarkEnd w:id="1552"/>
    </w:p>
    <w:p w14:paraId="75E18DF5">
      <w:pPr>
        <w:pStyle w:val="8"/>
        <w:widowControl/>
        <w:spacing w:line="380" w:lineRule="exact"/>
        <w:rPr>
          <w:rFonts w:hint="default" w:ascii="宋体" w:eastAsia="宋体" w:cs="宋体"/>
          <w:b w:val="0"/>
          <w:color w:val="auto"/>
          <w:sz w:val="24"/>
          <w:szCs w:val="24"/>
        </w:rPr>
      </w:pPr>
      <w:bookmarkStart w:id="1553" w:name="_Toc24220"/>
      <w:bookmarkStart w:id="1554" w:name="_Toc1230"/>
      <w:bookmarkStart w:id="1555" w:name="_Toc25861"/>
      <w:bookmarkStart w:id="1556" w:name="_Toc2062"/>
      <w:r>
        <w:rPr>
          <w:rFonts w:ascii="宋体" w:eastAsia="宋体" w:cs="宋体"/>
          <w:b w:val="0"/>
          <w:color w:val="auto"/>
          <w:sz w:val="24"/>
          <w:szCs w:val="24"/>
        </w:rPr>
        <w:t>2</w:t>
      </w:r>
      <w:r>
        <w:rPr>
          <w:rFonts w:hint="eastAsia" w:ascii="宋体" w:eastAsia="宋体" w:cs="宋体"/>
          <w:b w:val="0"/>
          <w:color w:val="auto"/>
          <w:sz w:val="24"/>
          <w:szCs w:val="24"/>
          <w:lang w:val="en-US" w:eastAsia="zh-CN"/>
        </w:rPr>
        <w:t>6</w:t>
      </w:r>
      <w:r>
        <w:rPr>
          <w:rFonts w:ascii="宋体" w:eastAsia="宋体" w:cs="宋体"/>
          <w:b w:val="0"/>
          <w:color w:val="auto"/>
          <w:sz w:val="24"/>
          <w:szCs w:val="24"/>
        </w:rPr>
        <w:t>.1 采购人验收时，应成立验收小组，明确责任，严格依照采购文件、中标通知书、政府采购合同及相关验收规范进行核对、验收，形成验收结论，并出具书面验收报告。</w:t>
      </w:r>
      <w:bookmarkEnd w:id="1553"/>
      <w:bookmarkEnd w:id="1554"/>
      <w:bookmarkEnd w:id="1555"/>
      <w:bookmarkEnd w:id="1556"/>
    </w:p>
    <w:p w14:paraId="622C8862">
      <w:pPr>
        <w:pStyle w:val="8"/>
        <w:widowControl/>
        <w:spacing w:line="380" w:lineRule="exact"/>
        <w:rPr>
          <w:rFonts w:hint="default" w:ascii="宋体" w:eastAsia="宋体" w:cs="宋体"/>
          <w:b w:val="0"/>
          <w:color w:val="auto"/>
          <w:sz w:val="24"/>
          <w:szCs w:val="24"/>
        </w:rPr>
      </w:pPr>
      <w:bookmarkStart w:id="1557" w:name="_Toc24384"/>
      <w:bookmarkStart w:id="1558" w:name="_Toc14524"/>
      <w:bookmarkStart w:id="1559" w:name="_Toc6582"/>
      <w:bookmarkStart w:id="1560" w:name="_Toc11409"/>
      <w:r>
        <w:rPr>
          <w:rFonts w:ascii="宋体" w:eastAsia="宋体" w:cs="宋体"/>
          <w:b w:val="0"/>
          <w:color w:val="auto"/>
          <w:sz w:val="24"/>
          <w:szCs w:val="24"/>
        </w:rPr>
        <w:t>2</w:t>
      </w:r>
      <w:r>
        <w:rPr>
          <w:rFonts w:hint="eastAsia" w:ascii="宋体" w:eastAsia="宋体" w:cs="宋体"/>
          <w:b w:val="0"/>
          <w:color w:val="auto"/>
          <w:sz w:val="24"/>
          <w:szCs w:val="24"/>
          <w:lang w:val="en-US" w:eastAsia="zh-CN"/>
        </w:rPr>
        <w:t>6</w:t>
      </w:r>
      <w:r>
        <w:rPr>
          <w:rFonts w:ascii="宋体" w:eastAsia="宋体" w:cs="宋体"/>
          <w:b w:val="0"/>
          <w:color w:val="auto"/>
          <w:sz w:val="24"/>
          <w:szCs w:val="24"/>
        </w:rPr>
        <w:t>.2 涉及安全、消防、环保等其他需要由质检或行业主管部门进行验收的项目，必须邀请相关部门或相关专家参与验收。</w:t>
      </w:r>
      <w:bookmarkEnd w:id="1557"/>
      <w:bookmarkEnd w:id="1558"/>
      <w:bookmarkEnd w:id="1559"/>
      <w:bookmarkEnd w:id="1560"/>
    </w:p>
    <w:p w14:paraId="304A4819">
      <w:pPr>
        <w:pStyle w:val="8"/>
        <w:widowControl/>
        <w:spacing w:line="380" w:lineRule="exact"/>
        <w:rPr>
          <w:rFonts w:hint="default" w:ascii="宋体" w:eastAsia="宋体" w:cs="宋体"/>
          <w:b w:val="0"/>
          <w:color w:val="auto"/>
          <w:sz w:val="24"/>
          <w:szCs w:val="24"/>
        </w:rPr>
      </w:pPr>
      <w:bookmarkStart w:id="1561" w:name="_Toc15281"/>
      <w:bookmarkStart w:id="1562" w:name="_Toc1863"/>
      <w:bookmarkStart w:id="1563" w:name="_Toc1729"/>
      <w:bookmarkStart w:id="1564" w:name="_Toc437"/>
      <w:r>
        <w:rPr>
          <w:rFonts w:ascii="宋体" w:eastAsia="宋体" w:cs="宋体"/>
          <w:b w:val="0"/>
          <w:color w:val="auto"/>
          <w:sz w:val="24"/>
          <w:szCs w:val="24"/>
        </w:rPr>
        <w:t>2</w:t>
      </w:r>
      <w:r>
        <w:rPr>
          <w:rFonts w:hint="eastAsia" w:ascii="宋体" w:eastAsia="宋体" w:cs="宋体"/>
          <w:b w:val="0"/>
          <w:color w:val="auto"/>
          <w:sz w:val="24"/>
          <w:szCs w:val="24"/>
          <w:lang w:val="en-US" w:eastAsia="zh-CN"/>
        </w:rPr>
        <w:t>6</w:t>
      </w:r>
      <w:r>
        <w:rPr>
          <w:rFonts w:ascii="宋体" w:eastAsia="宋体" w:cs="宋体"/>
          <w:b w:val="0"/>
          <w:color w:val="auto"/>
          <w:sz w:val="24"/>
          <w:szCs w:val="24"/>
        </w:rPr>
        <w:t>.3 检测、验收费用均由合同乙方（成交供应商）承担。</w:t>
      </w:r>
      <w:bookmarkEnd w:id="1561"/>
      <w:bookmarkEnd w:id="1562"/>
      <w:bookmarkEnd w:id="1563"/>
      <w:bookmarkEnd w:id="1564"/>
    </w:p>
    <w:p w14:paraId="189B409C">
      <w:pPr>
        <w:pStyle w:val="8"/>
        <w:widowControl/>
        <w:spacing w:line="380" w:lineRule="exact"/>
        <w:rPr>
          <w:rFonts w:hint="default" w:ascii="宋体" w:eastAsia="宋体" w:cs="宋体"/>
          <w:b w:val="0"/>
          <w:color w:val="auto"/>
          <w:sz w:val="24"/>
          <w:szCs w:val="24"/>
        </w:rPr>
      </w:pPr>
      <w:bookmarkStart w:id="1565" w:name="_Toc25445"/>
      <w:bookmarkStart w:id="1566" w:name="_Toc1815"/>
      <w:bookmarkStart w:id="1567" w:name="_Toc14274"/>
      <w:bookmarkStart w:id="1568" w:name="_Toc25075"/>
      <w:r>
        <w:rPr>
          <w:rFonts w:ascii="宋体" w:eastAsia="宋体" w:cs="宋体"/>
          <w:b w:val="0"/>
          <w:color w:val="auto"/>
          <w:sz w:val="24"/>
          <w:szCs w:val="24"/>
        </w:rPr>
        <w:t>2</w:t>
      </w:r>
      <w:r>
        <w:rPr>
          <w:rFonts w:hint="eastAsia" w:ascii="宋体" w:eastAsia="宋体" w:cs="宋体"/>
          <w:b w:val="0"/>
          <w:color w:val="auto"/>
          <w:sz w:val="24"/>
          <w:szCs w:val="24"/>
          <w:lang w:val="en-US" w:eastAsia="zh-CN"/>
        </w:rPr>
        <w:t>7</w:t>
      </w:r>
      <w:r>
        <w:rPr>
          <w:rFonts w:ascii="宋体" w:eastAsia="宋体" w:cs="宋体"/>
          <w:b w:val="0"/>
          <w:color w:val="auto"/>
          <w:sz w:val="24"/>
          <w:szCs w:val="24"/>
        </w:rPr>
        <w:t>.质疑</w:t>
      </w:r>
      <w:bookmarkEnd w:id="1565"/>
      <w:bookmarkEnd w:id="1566"/>
      <w:bookmarkEnd w:id="1567"/>
      <w:bookmarkEnd w:id="1568"/>
    </w:p>
    <w:p w14:paraId="3EB88143">
      <w:pPr>
        <w:pStyle w:val="8"/>
        <w:widowControl/>
        <w:spacing w:line="380" w:lineRule="exact"/>
        <w:rPr>
          <w:rFonts w:hint="default" w:ascii="宋体" w:eastAsia="宋体" w:cs="宋体"/>
          <w:b w:val="0"/>
          <w:color w:val="auto"/>
          <w:sz w:val="24"/>
          <w:szCs w:val="24"/>
        </w:rPr>
      </w:pPr>
      <w:bookmarkStart w:id="1569" w:name="_Toc10483"/>
      <w:bookmarkStart w:id="1570" w:name="_Toc4968"/>
      <w:bookmarkStart w:id="1571" w:name="_Toc11211"/>
      <w:bookmarkStart w:id="1572" w:name="_Toc9647"/>
      <w:r>
        <w:rPr>
          <w:rFonts w:ascii="宋体" w:eastAsia="宋体" w:cs="宋体"/>
          <w:b w:val="0"/>
          <w:color w:val="auto"/>
          <w:sz w:val="24"/>
          <w:szCs w:val="24"/>
        </w:rPr>
        <w:t>2</w:t>
      </w:r>
      <w:r>
        <w:rPr>
          <w:rFonts w:hint="eastAsia" w:ascii="宋体" w:eastAsia="宋体" w:cs="宋体"/>
          <w:b w:val="0"/>
          <w:color w:val="auto"/>
          <w:sz w:val="24"/>
          <w:szCs w:val="24"/>
          <w:lang w:val="en-US" w:eastAsia="zh-CN"/>
        </w:rPr>
        <w:t>7</w:t>
      </w:r>
      <w:r>
        <w:rPr>
          <w:rFonts w:ascii="宋体" w:eastAsia="宋体" w:cs="宋体"/>
          <w:b w:val="0"/>
          <w:color w:val="auto"/>
          <w:sz w:val="24"/>
          <w:szCs w:val="24"/>
        </w:rPr>
        <w:t>.1 供应商认为采购文件、采购过程、中标或者成交结果使自己的权益受到损害的，可以在知道或者应知其权益受到损害之日起在法定质疑期内，一次性提出针对同一采购程序环节的质疑，由供应商授权代表（或法人代表）携带身份证明材料，以书面形式向采购人和招标代理机构提出质疑，逾期不予受理。</w:t>
      </w:r>
      <w:bookmarkEnd w:id="1569"/>
      <w:bookmarkEnd w:id="1570"/>
      <w:bookmarkEnd w:id="1571"/>
      <w:bookmarkEnd w:id="1572"/>
    </w:p>
    <w:p w14:paraId="265D5FF3">
      <w:pPr>
        <w:pStyle w:val="8"/>
        <w:widowControl/>
        <w:spacing w:line="380" w:lineRule="exact"/>
        <w:rPr>
          <w:rFonts w:hint="default" w:ascii="宋体" w:eastAsia="宋体" w:cs="宋体"/>
          <w:b w:val="0"/>
          <w:color w:val="auto"/>
          <w:sz w:val="24"/>
          <w:szCs w:val="24"/>
        </w:rPr>
      </w:pPr>
      <w:bookmarkStart w:id="1573" w:name="_Toc29930"/>
      <w:bookmarkStart w:id="1574" w:name="_Toc6193"/>
      <w:bookmarkStart w:id="1575" w:name="_Toc8481"/>
      <w:bookmarkStart w:id="1576" w:name="_Toc25945"/>
      <w:r>
        <w:rPr>
          <w:rFonts w:ascii="宋体" w:eastAsia="宋体" w:cs="宋体"/>
          <w:b w:val="0"/>
          <w:color w:val="auto"/>
          <w:sz w:val="24"/>
          <w:szCs w:val="24"/>
        </w:rPr>
        <w:t>2</w:t>
      </w:r>
      <w:r>
        <w:rPr>
          <w:rFonts w:hint="eastAsia" w:ascii="宋体" w:eastAsia="宋体" w:cs="宋体"/>
          <w:b w:val="0"/>
          <w:color w:val="auto"/>
          <w:sz w:val="24"/>
          <w:szCs w:val="24"/>
          <w:lang w:val="en-US" w:eastAsia="zh-CN"/>
        </w:rPr>
        <w:t>7</w:t>
      </w:r>
      <w:r>
        <w:rPr>
          <w:rFonts w:ascii="宋体" w:eastAsia="宋体" w:cs="宋体"/>
          <w:b w:val="0"/>
          <w:color w:val="auto"/>
          <w:sz w:val="24"/>
          <w:szCs w:val="24"/>
        </w:rPr>
        <w:t>.2 质疑书内容应包括质疑的详细理由和依据，并提供有关证明资料。</w:t>
      </w:r>
      <w:bookmarkEnd w:id="1573"/>
      <w:bookmarkEnd w:id="1574"/>
      <w:bookmarkEnd w:id="1575"/>
      <w:bookmarkEnd w:id="1576"/>
    </w:p>
    <w:p w14:paraId="7436F4D6">
      <w:pPr>
        <w:pStyle w:val="8"/>
        <w:widowControl/>
        <w:spacing w:line="380" w:lineRule="exact"/>
        <w:rPr>
          <w:rFonts w:hint="default" w:ascii="宋体" w:eastAsia="宋体" w:cs="宋体"/>
          <w:b w:val="0"/>
          <w:color w:val="auto"/>
          <w:sz w:val="24"/>
          <w:szCs w:val="24"/>
        </w:rPr>
      </w:pPr>
      <w:bookmarkStart w:id="1577" w:name="_Toc18192"/>
      <w:bookmarkStart w:id="1578" w:name="_Toc26998"/>
      <w:bookmarkStart w:id="1579" w:name="_Toc23233"/>
      <w:bookmarkStart w:id="1580" w:name="_Toc11948"/>
      <w:r>
        <w:rPr>
          <w:rFonts w:ascii="宋体" w:eastAsia="宋体" w:cs="宋体"/>
          <w:b w:val="0"/>
          <w:color w:val="auto"/>
          <w:sz w:val="24"/>
          <w:szCs w:val="24"/>
        </w:rPr>
        <w:t>2</w:t>
      </w:r>
      <w:r>
        <w:rPr>
          <w:rFonts w:hint="eastAsia" w:ascii="宋体" w:eastAsia="宋体" w:cs="宋体"/>
          <w:b w:val="0"/>
          <w:color w:val="auto"/>
          <w:sz w:val="24"/>
          <w:szCs w:val="24"/>
          <w:lang w:val="en-US" w:eastAsia="zh-CN"/>
        </w:rPr>
        <w:t>7</w:t>
      </w:r>
      <w:r>
        <w:rPr>
          <w:rFonts w:ascii="宋体" w:eastAsia="宋体" w:cs="宋体"/>
          <w:b w:val="0"/>
          <w:color w:val="auto"/>
          <w:sz w:val="24"/>
          <w:szCs w:val="24"/>
        </w:rPr>
        <w:t>.3 有以下情形之一的，视为无效质疑：</w:t>
      </w:r>
      <w:bookmarkEnd w:id="1577"/>
      <w:bookmarkEnd w:id="1578"/>
      <w:bookmarkEnd w:id="1579"/>
      <w:bookmarkEnd w:id="1580"/>
    </w:p>
    <w:p w14:paraId="2FC69C84">
      <w:pPr>
        <w:pStyle w:val="8"/>
        <w:widowControl/>
        <w:spacing w:line="380" w:lineRule="exact"/>
        <w:rPr>
          <w:rFonts w:hint="default" w:ascii="宋体" w:eastAsia="宋体" w:cs="宋体"/>
          <w:b w:val="0"/>
          <w:color w:val="auto"/>
          <w:sz w:val="24"/>
          <w:szCs w:val="24"/>
        </w:rPr>
      </w:pPr>
      <w:bookmarkStart w:id="1581" w:name="_Toc6994"/>
      <w:bookmarkStart w:id="1582" w:name="_Toc22180"/>
      <w:bookmarkStart w:id="1583" w:name="_Toc4232"/>
      <w:bookmarkStart w:id="1584" w:name="_Toc12001"/>
      <w:r>
        <w:rPr>
          <w:rFonts w:ascii="宋体" w:eastAsia="宋体" w:cs="宋体"/>
          <w:b w:val="0"/>
          <w:color w:val="auto"/>
          <w:sz w:val="24"/>
          <w:szCs w:val="24"/>
        </w:rPr>
        <w:t>2</w:t>
      </w:r>
      <w:r>
        <w:rPr>
          <w:rFonts w:hint="eastAsia" w:ascii="宋体" w:eastAsia="宋体" w:cs="宋体"/>
          <w:b w:val="0"/>
          <w:color w:val="auto"/>
          <w:sz w:val="24"/>
          <w:szCs w:val="24"/>
          <w:lang w:val="en-US" w:eastAsia="zh-CN"/>
        </w:rPr>
        <w:t>7</w:t>
      </w:r>
      <w:r>
        <w:rPr>
          <w:rFonts w:ascii="宋体" w:eastAsia="宋体" w:cs="宋体"/>
          <w:b w:val="0"/>
          <w:color w:val="auto"/>
          <w:sz w:val="24"/>
          <w:szCs w:val="24"/>
        </w:rPr>
        <w:t>.3.1 未按规定时间或规定手续提交质疑的；</w:t>
      </w:r>
      <w:bookmarkEnd w:id="1581"/>
      <w:bookmarkEnd w:id="1582"/>
      <w:bookmarkEnd w:id="1583"/>
      <w:bookmarkEnd w:id="1584"/>
    </w:p>
    <w:p w14:paraId="4EE40640">
      <w:pPr>
        <w:pStyle w:val="8"/>
        <w:widowControl/>
        <w:spacing w:line="380" w:lineRule="exact"/>
        <w:rPr>
          <w:rFonts w:hint="default" w:ascii="宋体" w:eastAsia="宋体" w:cs="宋体"/>
          <w:b w:val="0"/>
          <w:color w:val="auto"/>
          <w:sz w:val="24"/>
          <w:szCs w:val="24"/>
        </w:rPr>
      </w:pPr>
      <w:bookmarkStart w:id="1585" w:name="_Toc28079"/>
      <w:bookmarkStart w:id="1586" w:name="_Toc17218"/>
      <w:bookmarkStart w:id="1587" w:name="_Toc23904"/>
      <w:bookmarkStart w:id="1588" w:name="_Toc24880"/>
      <w:r>
        <w:rPr>
          <w:rFonts w:ascii="宋体" w:eastAsia="宋体" w:cs="宋体"/>
          <w:b w:val="0"/>
          <w:color w:val="auto"/>
          <w:sz w:val="24"/>
          <w:szCs w:val="24"/>
        </w:rPr>
        <w:t>2</w:t>
      </w:r>
      <w:r>
        <w:rPr>
          <w:rFonts w:hint="eastAsia" w:ascii="宋体" w:eastAsia="宋体" w:cs="宋体"/>
          <w:b w:val="0"/>
          <w:color w:val="auto"/>
          <w:sz w:val="24"/>
          <w:szCs w:val="24"/>
          <w:lang w:val="en-US" w:eastAsia="zh-CN"/>
        </w:rPr>
        <w:t>7</w:t>
      </w:r>
      <w:r>
        <w:rPr>
          <w:rFonts w:ascii="宋体" w:eastAsia="宋体" w:cs="宋体"/>
          <w:b w:val="0"/>
          <w:color w:val="auto"/>
          <w:sz w:val="24"/>
          <w:szCs w:val="24"/>
        </w:rPr>
        <w:t>.3.2 质疑内容含糊不清、没有提供详细理由和依据，无法进行核查的；</w:t>
      </w:r>
      <w:bookmarkEnd w:id="1585"/>
      <w:bookmarkEnd w:id="1586"/>
      <w:bookmarkEnd w:id="1587"/>
      <w:bookmarkEnd w:id="1588"/>
    </w:p>
    <w:p w14:paraId="285D73A2">
      <w:pPr>
        <w:pStyle w:val="8"/>
        <w:widowControl/>
        <w:spacing w:line="380" w:lineRule="exact"/>
        <w:rPr>
          <w:rFonts w:hint="default" w:ascii="宋体" w:eastAsia="宋体" w:cs="宋体"/>
          <w:b w:val="0"/>
          <w:color w:val="auto"/>
          <w:sz w:val="24"/>
          <w:szCs w:val="24"/>
        </w:rPr>
      </w:pPr>
      <w:bookmarkStart w:id="1589" w:name="_Toc5915"/>
      <w:bookmarkStart w:id="1590" w:name="_Toc22672"/>
      <w:bookmarkStart w:id="1591" w:name="_Toc31"/>
      <w:bookmarkStart w:id="1592" w:name="_Toc11299"/>
      <w:r>
        <w:rPr>
          <w:rFonts w:ascii="宋体" w:eastAsia="宋体" w:cs="宋体"/>
          <w:b w:val="0"/>
          <w:color w:val="auto"/>
          <w:sz w:val="24"/>
          <w:szCs w:val="24"/>
        </w:rPr>
        <w:t>2</w:t>
      </w:r>
      <w:r>
        <w:rPr>
          <w:rFonts w:hint="eastAsia" w:ascii="宋体" w:eastAsia="宋体" w:cs="宋体"/>
          <w:b w:val="0"/>
          <w:color w:val="auto"/>
          <w:sz w:val="24"/>
          <w:szCs w:val="24"/>
          <w:lang w:val="en-US" w:eastAsia="zh-CN"/>
        </w:rPr>
        <w:t>7</w:t>
      </w:r>
      <w:r>
        <w:rPr>
          <w:rFonts w:ascii="宋体" w:eastAsia="宋体" w:cs="宋体"/>
          <w:b w:val="0"/>
          <w:color w:val="auto"/>
          <w:sz w:val="24"/>
          <w:szCs w:val="24"/>
        </w:rPr>
        <w:t>.3.3 其他不符合质疑程序和有关规定的。 被判定无效质疑的，采购人和招标代理机构将书面回复投标单位其质疑无效的理由，并记录无效质疑一次。</w:t>
      </w:r>
      <w:bookmarkEnd w:id="1589"/>
      <w:bookmarkEnd w:id="1590"/>
      <w:bookmarkEnd w:id="1591"/>
      <w:bookmarkEnd w:id="1592"/>
    </w:p>
    <w:p w14:paraId="6A425670">
      <w:pPr>
        <w:pStyle w:val="8"/>
        <w:widowControl/>
        <w:spacing w:line="380" w:lineRule="exact"/>
        <w:rPr>
          <w:rFonts w:hint="default" w:ascii="宋体" w:eastAsia="宋体" w:cs="宋体"/>
          <w:b w:val="0"/>
          <w:color w:val="auto"/>
          <w:sz w:val="24"/>
          <w:szCs w:val="24"/>
        </w:rPr>
      </w:pPr>
      <w:bookmarkStart w:id="1593" w:name="_Toc16258"/>
      <w:bookmarkStart w:id="1594" w:name="_Toc19896"/>
      <w:bookmarkStart w:id="1595" w:name="_Toc30138"/>
      <w:bookmarkStart w:id="1596" w:name="_Toc25408"/>
      <w:r>
        <w:rPr>
          <w:rFonts w:ascii="宋体" w:eastAsia="宋体" w:cs="宋体"/>
          <w:b w:val="0"/>
          <w:color w:val="auto"/>
          <w:sz w:val="24"/>
          <w:szCs w:val="24"/>
        </w:rPr>
        <w:t>2</w:t>
      </w:r>
      <w:r>
        <w:rPr>
          <w:rFonts w:hint="eastAsia" w:ascii="宋体" w:eastAsia="宋体" w:cs="宋体"/>
          <w:b w:val="0"/>
          <w:color w:val="auto"/>
          <w:sz w:val="24"/>
          <w:szCs w:val="24"/>
          <w:lang w:val="en-US" w:eastAsia="zh-CN"/>
        </w:rPr>
        <w:t>7</w:t>
      </w:r>
      <w:r>
        <w:rPr>
          <w:rFonts w:ascii="宋体" w:eastAsia="宋体" w:cs="宋体"/>
          <w:b w:val="0"/>
          <w:color w:val="auto"/>
          <w:sz w:val="24"/>
          <w:szCs w:val="24"/>
        </w:rPr>
        <w:t>.4 采购人和招标代理机构将在受到书面质疑后7个工作日内审查质疑事项，作出答复或相关处理决定，并以书面形式通知质疑人，但答复的内容不涉及商业秘密。</w:t>
      </w:r>
      <w:bookmarkEnd w:id="1593"/>
      <w:bookmarkEnd w:id="1594"/>
      <w:bookmarkEnd w:id="1595"/>
      <w:bookmarkEnd w:id="1596"/>
    </w:p>
    <w:p w14:paraId="3308A0F2">
      <w:pPr>
        <w:pStyle w:val="8"/>
        <w:widowControl/>
        <w:spacing w:line="380" w:lineRule="exact"/>
        <w:rPr>
          <w:rFonts w:hint="default" w:ascii="宋体" w:eastAsia="宋体" w:cs="宋体"/>
          <w:b w:val="0"/>
          <w:color w:val="auto"/>
          <w:sz w:val="24"/>
          <w:szCs w:val="24"/>
        </w:rPr>
      </w:pPr>
      <w:bookmarkStart w:id="1597" w:name="_Toc3676"/>
      <w:bookmarkStart w:id="1598" w:name="_Toc6927"/>
      <w:bookmarkStart w:id="1599" w:name="_Toc31627"/>
      <w:bookmarkStart w:id="1600" w:name="_Toc26561"/>
      <w:r>
        <w:rPr>
          <w:rFonts w:ascii="宋体" w:eastAsia="宋体" w:cs="宋体"/>
          <w:b w:val="0"/>
          <w:color w:val="auto"/>
          <w:sz w:val="24"/>
          <w:szCs w:val="24"/>
        </w:rPr>
        <w:t>2</w:t>
      </w:r>
      <w:r>
        <w:rPr>
          <w:rFonts w:hint="eastAsia" w:ascii="宋体" w:eastAsia="宋体" w:cs="宋体"/>
          <w:b w:val="0"/>
          <w:color w:val="auto"/>
          <w:sz w:val="24"/>
          <w:szCs w:val="24"/>
          <w:lang w:val="en-US" w:eastAsia="zh-CN"/>
        </w:rPr>
        <w:t>7</w:t>
      </w:r>
      <w:r>
        <w:rPr>
          <w:rFonts w:ascii="宋体" w:eastAsia="宋体" w:cs="宋体"/>
          <w:b w:val="0"/>
          <w:color w:val="auto"/>
          <w:sz w:val="24"/>
          <w:szCs w:val="24"/>
        </w:rPr>
        <w:t>.5 投诉人有下列情形之一的，属于虚假、恶意投诉，监督管理部门将驳回投诉，将其列入不良行为记录名单，并依法予以处罚：</w:t>
      </w:r>
      <w:bookmarkEnd w:id="1597"/>
      <w:bookmarkEnd w:id="1598"/>
      <w:bookmarkEnd w:id="1599"/>
      <w:bookmarkEnd w:id="1600"/>
    </w:p>
    <w:p w14:paraId="613E667D">
      <w:pPr>
        <w:pStyle w:val="8"/>
        <w:widowControl/>
        <w:spacing w:line="380" w:lineRule="exact"/>
        <w:rPr>
          <w:rFonts w:hint="default" w:ascii="宋体" w:eastAsia="宋体" w:cs="宋体"/>
          <w:b w:val="0"/>
          <w:color w:val="auto"/>
          <w:sz w:val="24"/>
          <w:szCs w:val="24"/>
        </w:rPr>
      </w:pPr>
      <w:bookmarkStart w:id="1601" w:name="_Toc12117"/>
      <w:bookmarkStart w:id="1602" w:name="_Toc6367"/>
      <w:bookmarkStart w:id="1603" w:name="_Toc1153"/>
      <w:bookmarkStart w:id="1604" w:name="_Toc24688"/>
      <w:r>
        <w:rPr>
          <w:rFonts w:ascii="宋体" w:eastAsia="宋体" w:cs="宋体"/>
          <w:b w:val="0"/>
          <w:color w:val="auto"/>
          <w:sz w:val="24"/>
          <w:szCs w:val="24"/>
        </w:rPr>
        <w:t>2</w:t>
      </w:r>
      <w:r>
        <w:rPr>
          <w:rFonts w:hint="eastAsia" w:ascii="宋体" w:eastAsia="宋体" w:cs="宋体"/>
          <w:b w:val="0"/>
          <w:color w:val="auto"/>
          <w:sz w:val="24"/>
          <w:szCs w:val="24"/>
          <w:lang w:val="en-US" w:eastAsia="zh-CN"/>
        </w:rPr>
        <w:t>7</w:t>
      </w:r>
      <w:r>
        <w:rPr>
          <w:rFonts w:ascii="宋体" w:eastAsia="宋体" w:cs="宋体"/>
          <w:b w:val="0"/>
          <w:color w:val="auto"/>
          <w:sz w:val="24"/>
          <w:szCs w:val="24"/>
        </w:rPr>
        <w:t>.5.1 一年内三次以上投诉均查无实据的；</w:t>
      </w:r>
      <w:bookmarkEnd w:id="1601"/>
      <w:bookmarkEnd w:id="1602"/>
      <w:bookmarkEnd w:id="1603"/>
      <w:bookmarkEnd w:id="1604"/>
    </w:p>
    <w:p w14:paraId="41AF0768">
      <w:pPr>
        <w:pStyle w:val="8"/>
        <w:widowControl/>
        <w:spacing w:line="380" w:lineRule="exact"/>
        <w:rPr>
          <w:rFonts w:hint="default" w:ascii="宋体" w:eastAsia="宋体" w:cs="宋体"/>
          <w:b w:val="0"/>
          <w:color w:val="auto"/>
          <w:sz w:val="24"/>
          <w:szCs w:val="24"/>
        </w:rPr>
      </w:pPr>
      <w:bookmarkStart w:id="1605" w:name="_Toc7505"/>
      <w:bookmarkStart w:id="1606" w:name="_Toc17249"/>
      <w:bookmarkStart w:id="1607" w:name="_Toc32033"/>
      <w:bookmarkStart w:id="1608" w:name="_Toc17962"/>
      <w:r>
        <w:rPr>
          <w:rFonts w:ascii="宋体" w:eastAsia="宋体" w:cs="宋体"/>
          <w:b w:val="0"/>
          <w:color w:val="auto"/>
          <w:sz w:val="24"/>
          <w:szCs w:val="24"/>
        </w:rPr>
        <w:t>2</w:t>
      </w:r>
      <w:r>
        <w:rPr>
          <w:rFonts w:hint="eastAsia" w:ascii="宋体" w:eastAsia="宋体" w:cs="宋体"/>
          <w:b w:val="0"/>
          <w:color w:val="auto"/>
          <w:sz w:val="24"/>
          <w:szCs w:val="24"/>
          <w:lang w:val="en-US" w:eastAsia="zh-CN"/>
        </w:rPr>
        <w:t>7</w:t>
      </w:r>
      <w:r>
        <w:rPr>
          <w:rFonts w:ascii="宋体" w:eastAsia="宋体" w:cs="宋体"/>
          <w:b w:val="0"/>
          <w:color w:val="auto"/>
          <w:sz w:val="24"/>
          <w:szCs w:val="24"/>
        </w:rPr>
        <w:t>.5.2 捏造事实、提供虚假投诉材料或提供以非法手段取得的证明材料质疑的；</w:t>
      </w:r>
      <w:bookmarkEnd w:id="1605"/>
      <w:bookmarkEnd w:id="1606"/>
      <w:bookmarkEnd w:id="1607"/>
      <w:bookmarkEnd w:id="1608"/>
    </w:p>
    <w:p w14:paraId="76C89716">
      <w:pPr>
        <w:pStyle w:val="8"/>
        <w:widowControl/>
        <w:spacing w:line="380" w:lineRule="exact"/>
        <w:rPr>
          <w:rFonts w:hint="default" w:ascii="宋体" w:eastAsia="宋体" w:cs="宋体"/>
          <w:b w:val="0"/>
          <w:color w:val="auto"/>
          <w:sz w:val="24"/>
          <w:szCs w:val="24"/>
        </w:rPr>
      </w:pPr>
      <w:bookmarkStart w:id="1609" w:name="_Toc27937"/>
      <w:bookmarkStart w:id="1610" w:name="_Toc3462"/>
      <w:bookmarkStart w:id="1611" w:name="_Toc1706"/>
      <w:bookmarkStart w:id="1612" w:name="_Toc31169"/>
      <w:r>
        <w:rPr>
          <w:rFonts w:ascii="宋体" w:eastAsia="宋体" w:cs="宋体"/>
          <w:b w:val="0"/>
          <w:color w:val="auto"/>
          <w:sz w:val="24"/>
          <w:szCs w:val="24"/>
        </w:rPr>
        <w:t>2</w:t>
      </w:r>
      <w:r>
        <w:rPr>
          <w:rFonts w:hint="eastAsia" w:ascii="宋体" w:eastAsia="宋体" w:cs="宋体"/>
          <w:b w:val="0"/>
          <w:color w:val="auto"/>
          <w:sz w:val="24"/>
          <w:szCs w:val="24"/>
          <w:lang w:val="en-US" w:eastAsia="zh-CN"/>
        </w:rPr>
        <w:t>7</w:t>
      </w:r>
      <w:r>
        <w:rPr>
          <w:rFonts w:ascii="宋体" w:eastAsia="宋体" w:cs="宋体"/>
          <w:b w:val="0"/>
          <w:color w:val="auto"/>
          <w:sz w:val="24"/>
          <w:szCs w:val="24"/>
        </w:rPr>
        <w:t>.5.3 其他经认定属于虚假、恶意投诉的行为。</w:t>
      </w:r>
      <w:bookmarkEnd w:id="1609"/>
      <w:bookmarkEnd w:id="1610"/>
      <w:bookmarkEnd w:id="1611"/>
      <w:bookmarkEnd w:id="1612"/>
    </w:p>
    <w:p w14:paraId="24239ECB">
      <w:pPr>
        <w:pStyle w:val="8"/>
        <w:widowControl/>
        <w:spacing w:line="380" w:lineRule="exact"/>
        <w:rPr>
          <w:rFonts w:hint="default" w:ascii="宋体" w:eastAsia="宋体" w:cs="宋体"/>
          <w:b w:val="0"/>
          <w:color w:val="auto"/>
          <w:sz w:val="24"/>
          <w:szCs w:val="24"/>
        </w:rPr>
      </w:pPr>
      <w:bookmarkStart w:id="1613" w:name="_Toc27597"/>
      <w:bookmarkStart w:id="1614" w:name="_Toc13688"/>
      <w:bookmarkStart w:id="1615" w:name="_Toc21886"/>
      <w:bookmarkStart w:id="1616" w:name="_Toc59"/>
      <w:r>
        <w:rPr>
          <w:rFonts w:ascii="宋体" w:eastAsia="宋体" w:cs="宋体"/>
          <w:b w:val="0"/>
          <w:color w:val="auto"/>
          <w:sz w:val="24"/>
          <w:szCs w:val="24"/>
        </w:rPr>
        <w:t>2</w:t>
      </w:r>
      <w:r>
        <w:rPr>
          <w:rFonts w:hint="eastAsia" w:ascii="宋体" w:eastAsia="宋体" w:cs="宋体"/>
          <w:b w:val="0"/>
          <w:color w:val="auto"/>
          <w:sz w:val="24"/>
          <w:szCs w:val="24"/>
          <w:lang w:val="en-US" w:eastAsia="zh-CN"/>
        </w:rPr>
        <w:t>8</w:t>
      </w:r>
      <w:r>
        <w:rPr>
          <w:rFonts w:ascii="宋体" w:eastAsia="宋体" w:cs="宋体"/>
          <w:b w:val="0"/>
          <w:color w:val="auto"/>
          <w:sz w:val="24"/>
          <w:szCs w:val="24"/>
        </w:rPr>
        <w:t>.未尽事宜</w:t>
      </w:r>
      <w:bookmarkEnd w:id="1613"/>
      <w:bookmarkEnd w:id="1614"/>
      <w:bookmarkEnd w:id="1615"/>
      <w:bookmarkEnd w:id="1616"/>
    </w:p>
    <w:p w14:paraId="26BDBD88">
      <w:pPr>
        <w:pStyle w:val="8"/>
        <w:widowControl/>
        <w:spacing w:line="380" w:lineRule="exact"/>
        <w:rPr>
          <w:rFonts w:hint="default" w:ascii="宋体" w:eastAsia="宋体" w:cs="宋体"/>
          <w:b w:val="0"/>
          <w:color w:val="auto"/>
          <w:sz w:val="24"/>
          <w:szCs w:val="24"/>
        </w:rPr>
      </w:pPr>
      <w:bookmarkStart w:id="1617" w:name="_Toc23153"/>
      <w:bookmarkStart w:id="1618" w:name="_Toc13123"/>
      <w:bookmarkStart w:id="1619" w:name="_Toc16481"/>
      <w:bookmarkStart w:id="1620" w:name="_Toc5544"/>
      <w:r>
        <w:rPr>
          <w:rFonts w:ascii="宋体" w:eastAsia="宋体" w:cs="宋体"/>
          <w:b w:val="0"/>
          <w:color w:val="auto"/>
          <w:sz w:val="24"/>
          <w:szCs w:val="24"/>
        </w:rPr>
        <w:t>2</w:t>
      </w:r>
      <w:r>
        <w:rPr>
          <w:rFonts w:hint="eastAsia" w:ascii="宋体" w:eastAsia="宋体" w:cs="宋体"/>
          <w:b w:val="0"/>
          <w:color w:val="auto"/>
          <w:sz w:val="24"/>
          <w:szCs w:val="24"/>
          <w:lang w:val="en-US" w:eastAsia="zh-CN"/>
        </w:rPr>
        <w:t>8</w:t>
      </w:r>
      <w:r>
        <w:rPr>
          <w:rFonts w:ascii="宋体" w:eastAsia="宋体" w:cs="宋体"/>
          <w:b w:val="0"/>
          <w:color w:val="auto"/>
          <w:sz w:val="24"/>
          <w:szCs w:val="24"/>
        </w:rPr>
        <w:t>.1 按《中华人民共和国政府采购法》及其他有关法律法规的规定执行。</w:t>
      </w:r>
      <w:bookmarkEnd w:id="1617"/>
      <w:bookmarkEnd w:id="1618"/>
      <w:bookmarkEnd w:id="1619"/>
      <w:bookmarkEnd w:id="1620"/>
    </w:p>
    <w:p w14:paraId="7327CBF6">
      <w:pPr>
        <w:pStyle w:val="8"/>
        <w:widowControl/>
        <w:spacing w:line="380" w:lineRule="exact"/>
        <w:rPr>
          <w:rFonts w:hint="default" w:ascii="宋体" w:eastAsia="宋体" w:cs="宋体"/>
          <w:b w:val="0"/>
          <w:color w:val="auto"/>
          <w:sz w:val="24"/>
          <w:szCs w:val="24"/>
        </w:rPr>
      </w:pPr>
      <w:bookmarkStart w:id="1621" w:name="_Toc4633"/>
      <w:bookmarkStart w:id="1622" w:name="_Toc30688"/>
      <w:bookmarkStart w:id="1623" w:name="_Toc6863"/>
      <w:bookmarkStart w:id="1624" w:name="_Toc11048"/>
      <w:r>
        <w:rPr>
          <w:rFonts w:hint="eastAsia" w:ascii="宋体" w:eastAsia="宋体" w:cs="宋体"/>
          <w:b w:val="0"/>
          <w:color w:val="auto"/>
          <w:sz w:val="24"/>
          <w:szCs w:val="24"/>
          <w:lang w:val="en-US" w:eastAsia="zh-CN"/>
        </w:rPr>
        <w:t>29</w:t>
      </w:r>
      <w:r>
        <w:rPr>
          <w:rFonts w:ascii="宋体" w:eastAsia="宋体" w:cs="宋体"/>
          <w:b w:val="0"/>
          <w:color w:val="auto"/>
          <w:sz w:val="24"/>
          <w:szCs w:val="24"/>
        </w:rPr>
        <w:t>.解释权</w:t>
      </w:r>
      <w:bookmarkEnd w:id="1621"/>
      <w:bookmarkEnd w:id="1622"/>
      <w:bookmarkEnd w:id="1623"/>
      <w:bookmarkEnd w:id="1624"/>
    </w:p>
    <w:p w14:paraId="480CD4D6">
      <w:pPr>
        <w:pStyle w:val="8"/>
        <w:widowControl/>
        <w:spacing w:line="380" w:lineRule="exact"/>
        <w:rPr>
          <w:rFonts w:hint="default" w:ascii="宋体" w:eastAsia="宋体" w:cs="宋体"/>
          <w:b w:val="0"/>
          <w:color w:val="auto"/>
          <w:sz w:val="24"/>
          <w:szCs w:val="24"/>
        </w:rPr>
      </w:pPr>
      <w:bookmarkStart w:id="1625" w:name="_Toc26810"/>
      <w:bookmarkStart w:id="1626" w:name="_Toc5512"/>
      <w:bookmarkStart w:id="1627" w:name="_Toc25829"/>
      <w:bookmarkStart w:id="1628" w:name="_Toc5345"/>
      <w:r>
        <w:rPr>
          <w:rFonts w:hint="eastAsia" w:ascii="宋体" w:eastAsia="宋体" w:cs="宋体"/>
          <w:b w:val="0"/>
          <w:color w:val="auto"/>
          <w:sz w:val="24"/>
          <w:szCs w:val="24"/>
          <w:lang w:val="en-US" w:eastAsia="zh-CN"/>
        </w:rPr>
        <w:t>29</w:t>
      </w:r>
      <w:r>
        <w:rPr>
          <w:rFonts w:ascii="宋体" w:eastAsia="宋体" w:cs="宋体"/>
          <w:b w:val="0"/>
          <w:color w:val="auto"/>
          <w:sz w:val="24"/>
          <w:szCs w:val="24"/>
        </w:rPr>
        <w:t>.1 本磋商文件的解释权属于采购人。</w:t>
      </w:r>
      <w:bookmarkEnd w:id="1625"/>
      <w:bookmarkEnd w:id="1626"/>
      <w:bookmarkEnd w:id="1627"/>
      <w:bookmarkEnd w:id="1628"/>
    </w:p>
    <w:p w14:paraId="7BE2F465">
      <w:pPr>
        <w:spacing w:line="380" w:lineRule="exact"/>
        <w:rPr>
          <w:rFonts w:ascii="宋体" w:hAnsi="宋体" w:eastAsia="宋体" w:cs="宋体"/>
          <w:color w:val="auto"/>
          <w:sz w:val="24"/>
          <w:lang w:bidi="ar"/>
        </w:rPr>
        <w:sectPr>
          <w:pgSz w:w="11910" w:h="16850"/>
          <w:pgMar w:top="1080" w:right="770" w:bottom="1160" w:left="900" w:header="1" w:footer="974" w:gutter="0"/>
          <w:cols w:space="425" w:num="1"/>
          <w:docGrid w:type="lines" w:linePitch="312" w:charSpace="0"/>
        </w:sectPr>
      </w:pPr>
    </w:p>
    <w:p w14:paraId="1CBA9A71">
      <w:pPr>
        <w:pStyle w:val="8"/>
        <w:jc w:val="center"/>
        <w:rPr>
          <w:rFonts w:hint="default" w:ascii="宋体" w:eastAsia="宋体" w:cs="宋体"/>
          <w:color w:val="auto"/>
          <w:sz w:val="24"/>
          <w:szCs w:val="24"/>
        </w:rPr>
      </w:pPr>
      <w:bookmarkStart w:id="1629" w:name="第六章_采购合同"/>
      <w:bookmarkEnd w:id="1629"/>
      <w:bookmarkStart w:id="1630" w:name="_bookmark5"/>
      <w:bookmarkEnd w:id="1630"/>
      <w:bookmarkStart w:id="1631" w:name="_Toc32219"/>
    </w:p>
    <w:p w14:paraId="5A46B560">
      <w:pPr>
        <w:rPr>
          <w:rFonts w:ascii="宋体" w:hAnsi="宋体" w:eastAsia="宋体" w:cs="宋体"/>
          <w:color w:val="auto"/>
          <w:sz w:val="24"/>
        </w:rPr>
      </w:pPr>
    </w:p>
    <w:p w14:paraId="20BC67DE">
      <w:pPr>
        <w:pStyle w:val="2"/>
        <w:ind w:firstLine="480"/>
        <w:rPr>
          <w:rFonts w:ascii="宋体" w:hAnsi="宋体" w:eastAsia="宋体" w:cs="宋体"/>
          <w:color w:val="auto"/>
          <w:sz w:val="24"/>
          <w:szCs w:val="24"/>
        </w:rPr>
      </w:pPr>
    </w:p>
    <w:p w14:paraId="50907D98">
      <w:pPr>
        <w:pStyle w:val="5"/>
        <w:rPr>
          <w:rFonts w:ascii="宋体" w:hAnsi="宋体" w:eastAsia="宋体" w:cs="宋体"/>
          <w:color w:val="auto"/>
          <w:sz w:val="24"/>
          <w:szCs w:val="24"/>
        </w:rPr>
      </w:pPr>
    </w:p>
    <w:p w14:paraId="72756355">
      <w:pPr>
        <w:rPr>
          <w:rFonts w:ascii="宋体" w:hAnsi="宋体" w:eastAsia="宋体" w:cs="宋体"/>
          <w:color w:val="auto"/>
          <w:sz w:val="24"/>
          <w:szCs w:val="24"/>
        </w:rPr>
      </w:pPr>
    </w:p>
    <w:p w14:paraId="7CD1C159">
      <w:pPr>
        <w:pStyle w:val="2"/>
        <w:rPr>
          <w:rFonts w:ascii="宋体" w:hAnsi="宋体" w:eastAsia="宋体" w:cs="宋体"/>
          <w:color w:val="auto"/>
          <w:sz w:val="24"/>
          <w:szCs w:val="24"/>
        </w:rPr>
      </w:pPr>
    </w:p>
    <w:p w14:paraId="13F2BCD1">
      <w:pPr>
        <w:pStyle w:val="5"/>
        <w:rPr>
          <w:rFonts w:ascii="宋体" w:hAnsi="宋体" w:eastAsia="宋体" w:cs="宋体"/>
          <w:color w:val="auto"/>
          <w:sz w:val="24"/>
          <w:szCs w:val="24"/>
        </w:rPr>
      </w:pPr>
    </w:p>
    <w:p w14:paraId="12C7D2F5">
      <w:pPr>
        <w:rPr>
          <w:rFonts w:ascii="宋体" w:hAnsi="宋体" w:eastAsia="宋体" w:cs="宋体"/>
          <w:color w:val="auto"/>
          <w:sz w:val="24"/>
          <w:szCs w:val="24"/>
        </w:rPr>
      </w:pPr>
    </w:p>
    <w:p w14:paraId="688AD18B">
      <w:pPr>
        <w:pStyle w:val="2"/>
        <w:rPr>
          <w:rFonts w:ascii="宋体" w:hAnsi="宋体" w:eastAsia="宋体" w:cs="宋体"/>
          <w:color w:val="auto"/>
          <w:sz w:val="24"/>
          <w:szCs w:val="24"/>
        </w:rPr>
      </w:pPr>
    </w:p>
    <w:p w14:paraId="191A222F">
      <w:pPr>
        <w:pStyle w:val="5"/>
        <w:rPr>
          <w:color w:val="auto"/>
        </w:rPr>
      </w:pPr>
    </w:p>
    <w:p w14:paraId="2881E9DA">
      <w:pPr>
        <w:pStyle w:val="5"/>
        <w:ind w:right="-21" w:firstLine="540"/>
        <w:rPr>
          <w:color w:val="auto"/>
        </w:rPr>
      </w:pPr>
    </w:p>
    <w:p w14:paraId="6ABFFCCD">
      <w:pPr>
        <w:rPr>
          <w:color w:val="auto"/>
        </w:rPr>
      </w:pPr>
    </w:p>
    <w:p w14:paraId="3AD1D271">
      <w:pPr>
        <w:pStyle w:val="8"/>
        <w:jc w:val="center"/>
        <w:rPr>
          <w:rFonts w:hint="default" w:asciiTheme="majorEastAsia" w:hAnsiTheme="majorEastAsia" w:eastAsiaTheme="majorEastAsia" w:cstheme="majorEastAsia"/>
          <w:color w:val="auto"/>
          <w:sz w:val="28"/>
          <w:szCs w:val="28"/>
        </w:rPr>
      </w:pPr>
      <w:bookmarkStart w:id="1632" w:name="_Toc29096"/>
      <w:r>
        <w:rPr>
          <w:rFonts w:asciiTheme="majorEastAsia" w:hAnsiTheme="majorEastAsia" w:eastAsiaTheme="majorEastAsia" w:cstheme="majorEastAsia"/>
          <w:color w:val="auto"/>
          <w:sz w:val="28"/>
          <w:szCs w:val="28"/>
        </w:rPr>
        <w:t>第六章  采购合同</w:t>
      </w:r>
      <w:bookmarkEnd w:id="1631"/>
      <w:bookmarkEnd w:id="1632"/>
    </w:p>
    <w:p w14:paraId="02F0DDAD">
      <w:pPr>
        <w:pStyle w:val="25"/>
        <w:keepNext w:val="0"/>
        <w:keepLines w:val="0"/>
        <w:pageBreakBefore w:val="0"/>
        <w:widowControl/>
        <w:kinsoku/>
        <w:wordWrap/>
        <w:overflowPunct/>
        <w:topLinePunct w:val="0"/>
        <w:autoSpaceDE/>
        <w:autoSpaceDN/>
        <w:bidi w:val="0"/>
        <w:adjustRightInd/>
        <w:snapToGrid/>
        <w:spacing w:before="156" w:beforeLines="50" w:after="93" w:afterLines="30" w:line="500" w:lineRule="exact"/>
        <w:textAlignment w:val="auto"/>
        <w:rPr>
          <w:rFonts w:ascii="宋体" w:hAnsi="宋体" w:cs="宋体"/>
          <w:color w:val="auto"/>
          <w:sz w:val="24"/>
          <w:szCs w:val="24"/>
          <w:u w:val="single"/>
        </w:rPr>
      </w:pPr>
      <w:r>
        <w:rPr>
          <w:rFonts w:hint="eastAsia" w:ascii="宋体" w:hAnsi="宋体" w:cs="宋体"/>
          <w:color w:val="auto"/>
          <w:sz w:val="24"/>
          <w:szCs w:val="24"/>
        </w:rPr>
        <w:t>采购人（甲方）：</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594FCA20">
      <w:pPr>
        <w:pStyle w:val="25"/>
        <w:keepNext w:val="0"/>
        <w:keepLines w:val="0"/>
        <w:pageBreakBefore w:val="0"/>
        <w:widowControl/>
        <w:kinsoku/>
        <w:wordWrap/>
        <w:overflowPunct/>
        <w:topLinePunct w:val="0"/>
        <w:autoSpaceDE/>
        <w:autoSpaceDN/>
        <w:bidi w:val="0"/>
        <w:adjustRightInd/>
        <w:snapToGrid/>
        <w:spacing w:before="156" w:beforeLines="50" w:after="93" w:afterLines="30" w:line="500" w:lineRule="exact"/>
        <w:textAlignment w:val="auto"/>
        <w:rPr>
          <w:rFonts w:ascii="宋体" w:hAnsi="宋体" w:cs="宋体"/>
          <w:color w:val="auto"/>
          <w:sz w:val="24"/>
          <w:szCs w:val="24"/>
        </w:rPr>
      </w:pPr>
      <w:r>
        <w:rPr>
          <w:rFonts w:hint="eastAsia" w:ascii="宋体" w:hAnsi="宋体" w:cs="宋体"/>
          <w:color w:val="auto"/>
          <w:sz w:val="24"/>
          <w:szCs w:val="24"/>
        </w:rPr>
        <w:t>服务人（乙方）：</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67786928">
      <w:pPr>
        <w:pStyle w:val="25"/>
        <w:keepNext w:val="0"/>
        <w:keepLines w:val="0"/>
        <w:pageBreakBefore w:val="0"/>
        <w:widowControl/>
        <w:kinsoku/>
        <w:wordWrap/>
        <w:overflowPunct/>
        <w:topLinePunct w:val="0"/>
        <w:autoSpaceDE/>
        <w:autoSpaceDN/>
        <w:bidi w:val="0"/>
        <w:adjustRightInd/>
        <w:snapToGrid/>
        <w:spacing w:before="156" w:beforeLines="50" w:after="93" w:afterLines="30" w:line="500" w:lineRule="exact"/>
        <w:textAlignment w:val="auto"/>
        <w:rPr>
          <w:rFonts w:ascii="宋体" w:hAnsi="宋体" w:cs="宋体"/>
          <w:color w:val="auto"/>
          <w:sz w:val="24"/>
          <w:szCs w:val="24"/>
          <w:u w:val="single"/>
        </w:rPr>
      </w:pPr>
      <w:r>
        <w:rPr>
          <w:rFonts w:hint="eastAsia" w:ascii="宋体" w:hAnsi="宋体" w:cs="宋体"/>
          <w:color w:val="auto"/>
          <w:sz w:val="24"/>
          <w:szCs w:val="24"/>
        </w:rPr>
        <w:t>签订地点：</w:t>
      </w:r>
      <w:r>
        <w:rPr>
          <w:rFonts w:hint="eastAsia" w:ascii="宋体" w:hAnsi="宋体" w:cs="宋体"/>
          <w:color w:val="auto"/>
          <w:sz w:val="24"/>
          <w:szCs w:val="24"/>
          <w:u w:val="single"/>
        </w:rPr>
        <w:t xml:space="preserve">                         </w:t>
      </w:r>
    </w:p>
    <w:p w14:paraId="5E523C89">
      <w:pPr>
        <w:pStyle w:val="25"/>
        <w:keepNext w:val="0"/>
        <w:keepLines w:val="0"/>
        <w:pageBreakBefore w:val="0"/>
        <w:widowControl/>
        <w:kinsoku/>
        <w:wordWrap/>
        <w:overflowPunct/>
        <w:topLinePunct w:val="0"/>
        <w:autoSpaceDE/>
        <w:autoSpaceDN/>
        <w:bidi w:val="0"/>
        <w:adjustRightInd/>
        <w:snapToGrid/>
        <w:spacing w:before="156" w:beforeLines="50" w:after="93" w:afterLines="30" w:line="500" w:lineRule="exact"/>
        <w:textAlignment w:val="auto"/>
        <w:rPr>
          <w:rFonts w:ascii="宋体" w:hAnsi="宋体" w:cs="宋体"/>
          <w:color w:val="auto"/>
          <w:sz w:val="24"/>
          <w:szCs w:val="24"/>
          <w:u w:val="single"/>
        </w:rPr>
      </w:pPr>
      <w:r>
        <w:rPr>
          <w:rFonts w:hint="eastAsia" w:ascii="宋体" w:hAnsi="宋体" w:cs="宋体"/>
          <w:color w:val="auto"/>
          <w:sz w:val="24"/>
          <w:szCs w:val="24"/>
        </w:rPr>
        <w:t>项目名称：</w:t>
      </w:r>
      <w:r>
        <w:rPr>
          <w:rFonts w:hint="eastAsia" w:ascii="宋体" w:hAnsi="宋体" w:cs="宋体"/>
          <w:color w:val="auto"/>
          <w:sz w:val="24"/>
          <w:szCs w:val="24"/>
          <w:u w:val="single"/>
        </w:rPr>
        <w:t xml:space="preserve">                         </w:t>
      </w:r>
    </w:p>
    <w:p w14:paraId="3B6FFAB3">
      <w:pPr>
        <w:pStyle w:val="25"/>
        <w:keepNext w:val="0"/>
        <w:keepLines w:val="0"/>
        <w:pageBreakBefore w:val="0"/>
        <w:widowControl/>
        <w:kinsoku/>
        <w:wordWrap/>
        <w:overflowPunct/>
        <w:topLinePunct w:val="0"/>
        <w:autoSpaceDE/>
        <w:autoSpaceDN/>
        <w:bidi w:val="0"/>
        <w:adjustRightInd/>
        <w:snapToGrid/>
        <w:spacing w:before="156" w:beforeLines="50" w:after="93" w:afterLines="30" w:line="500" w:lineRule="exact"/>
        <w:textAlignment w:val="auto"/>
        <w:rPr>
          <w:rFonts w:ascii="宋体" w:hAnsi="宋体" w:cs="宋体"/>
          <w:color w:val="auto"/>
          <w:sz w:val="24"/>
          <w:szCs w:val="24"/>
        </w:rPr>
      </w:pPr>
      <w:r>
        <w:rPr>
          <w:rFonts w:hint="eastAsia" w:ascii="宋体" w:hAnsi="宋体" w:cs="宋体"/>
          <w:color w:val="auto"/>
          <w:sz w:val="24"/>
          <w:szCs w:val="24"/>
        </w:rPr>
        <w:t xml:space="preserve">项目编号： </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30725770">
      <w:pPr>
        <w:pStyle w:val="25"/>
        <w:keepNext w:val="0"/>
        <w:keepLines w:val="0"/>
        <w:pageBreakBefore w:val="0"/>
        <w:widowControl/>
        <w:kinsoku/>
        <w:wordWrap/>
        <w:overflowPunct/>
        <w:topLinePunct w:val="0"/>
        <w:autoSpaceDE/>
        <w:autoSpaceDN/>
        <w:bidi w:val="0"/>
        <w:adjustRightInd/>
        <w:snapToGrid/>
        <w:spacing w:before="156" w:beforeLines="50" w:after="93" w:afterLines="30" w:line="500" w:lineRule="exact"/>
        <w:textAlignment w:val="auto"/>
        <w:rPr>
          <w:rFonts w:ascii="宋体" w:hAnsi="宋体" w:cs="宋体"/>
          <w:color w:val="auto"/>
          <w:sz w:val="24"/>
          <w:szCs w:val="24"/>
        </w:rPr>
      </w:pPr>
      <w:r>
        <w:rPr>
          <w:rFonts w:hint="eastAsia" w:ascii="宋体" w:hAnsi="宋体" w:cs="宋体"/>
          <w:b/>
          <w:bCs/>
          <w:color w:val="auto"/>
          <w:sz w:val="24"/>
          <w:szCs w:val="24"/>
        </w:rPr>
        <w:t xml:space="preserve">  </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u w:val="single"/>
        </w:rPr>
        <w:t>淮南市</w:t>
      </w:r>
      <w:r>
        <w:rPr>
          <w:rFonts w:hint="eastAsia" w:ascii="宋体" w:hAnsi="宋体" w:cs="宋体"/>
          <w:b/>
          <w:bCs/>
          <w:color w:val="auto"/>
          <w:sz w:val="24"/>
          <w:szCs w:val="24"/>
          <w:u w:val="single"/>
          <w:lang w:val="en-US" w:eastAsia="zh-CN"/>
        </w:rPr>
        <w:t>应急管理</w:t>
      </w:r>
      <w:r>
        <w:rPr>
          <w:rFonts w:hint="eastAsia" w:ascii="宋体" w:hAnsi="宋体" w:cs="宋体"/>
          <w:b/>
          <w:bCs/>
          <w:color w:val="auto"/>
          <w:sz w:val="24"/>
          <w:szCs w:val="24"/>
          <w:u w:val="single"/>
        </w:rPr>
        <w:t>局</w:t>
      </w:r>
      <w:r>
        <w:rPr>
          <w:rFonts w:hint="eastAsia" w:ascii="宋体" w:hAnsi="宋体" w:cs="宋体"/>
          <w:color w:val="auto"/>
          <w:sz w:val="24"/>
          <w:szCs w:val="24"/>
        </w:rPr>
        <w:t>（采购人名称，</w:t>
      </w:r>
      <w:r>
        <w:rPr>
          <w:rFonts w:hint="eastAsia" w:ascii="宋体" w:hAnsi="宋体" w:cs="宋体"/>
          <w:color w:val="auto"/>
          <w:sz w:val="24"/>
          <w:szCs w:val="24"/>
          <w:lang w:val="zh-CN"/>
        </w:rPr>
        <w:t>以下简称：甲方</w:t>
      </w:r>
      <w:r>
        <w:rPr>
          <w:rFonts w:hint="eastAsia" w:ascii="宋体" w:hAnsi="宋体" w:cs="宋体"/>
          <w:color w:val="auto"/>
          <w:sz w:val="24"/>
          <w:szCs w:val="24"/>
        </w:rPr>
        <w:t>）通过组织竞争性磋商采购方式，经评标委员会评定，</w:t>
      </w:r>
      <w:r>
        <w:rPr>
          <w:rFonts w:hint="eastAsia" w:ascii="宋体" w:hAnsi="宋体" w:cs="宋体"/>
          <w:i/>
          <w:iCs/>
          <w:color w:val="auto"/>
          <w:sz w:val="24"/>
          <w:szCs w:val="24"/>
          <w:u w:val="single"/>
        </w:rPr>
        <w:t xml:space="preserve">            </w:t>
      </w:r>
      <w:r>
        <w:rPr>
          <w:rFonts w:hint="eastAsia" w:ascii="宋体" w:hAnsi="宋体" w:cs="宋体"/>
          <w:color w:val="auto"/>
          <w:sz w:val="24"/>
          <w:szCs w:val="24"/>
        </w:rPr>
        <w:t>（成交供应商名称，</w:t>
      </w:r>
      <w:r>
        <w:rPr>
          <w:rFonts w:hint="eastAsia" w:ascii="宋体" w:hAnsi="宋体" w:cs="宋体"/>
          <w:color w:val="auto"/>
          <w:sz w:val="24"/>
          <w:szCs w:val="24"/>
          <w:lang w:val="zh-CN"/>
        </w:rPr>
        <w:t>以下简称：乙方</w:t>
      </w:r>
      <w:r>
        <w:rPr>
          <w:rFonts w:hint="eastAsia" w:ascii="宋体" w:hAnsi="宋体" w:cs="宋体"/>
          <w:color w:val="auto"/>
          <w:sz w:val="24"/>
          <w:szCs w:val="24"/>
        </w:rPr>
        <w:t>）为本项目成交供应商，现按照采购文件确定的事项签订本合同。</w:t>
      </w:r>
    </w:p>
    <w:p w14:paraId="166DBB40">
      <w:pPr>
        <w:keepNext w:val="0"/>
        <w:keepLines w:val="0"/>
        <w:pageBreakBefore w:val="0"/>
        <w:kinsoku/>
        <w:wordWrap/>
        <w:overflowPunct/>
        <w:topLinePunct w:val="0"/>
        <w:autoSpaceDE/>
        <w:autoSpaceDN/>
        <w:bidi w:val="0"/>
        <w:adjustRightInd/>
        <w:snapToGrid/>
        <w:spacing w:line="500" w:lineRule="exact"/>
        <w:ind w:firstLine="435"/>
        <w:textAlignment w:val="auto"/>
        <w:rPr>
          <w:rFonts w:ascii="宋体" w:hAnsi="宋体" w:eastAsia="宋体" w:cs="宋体"/>
          <w:color w:val="auto"/>
          <w:sz w:val="24"/>
          <w:lang w:val="zh-CN"/>
        </w:rPr>
      </w:pPr>
      <w:r>
        <w:rPr>
          <w:rFonts w:hint="eastAsia" w:ascii="宋体" w:hAnsi="宋体" w:eastAsia="宋体" w:cs="宋体"/>
          <w:color w:val="auto"/>
          <w:sz w:val="24"/>
        </w:rPr>
        <w:t>根据《中华人民共和国民法典》、《中华人民共和国政府采购法》等相关法律法规之规定，按照平等、自愿、公平和诚实信用的原则，经甲方和乙方协商一致，约定以下合同条款，以兹共同遵守、全面履行。</w:t>
      </w:r>
    </w:p>
    <w:p w14:paraId="44E6DF45">
      <w:pPr>
        <w:keepNext w:val="0"/>
        <w:keepLines w:val="0"/>
        <w:pageBreakBefore w:val="0"/>
        <w:kinsoku/>
        <w:wordWrap/>
        <w:overflowPunct/>
        <w:topLinePunct w:val="0"/>
        <w:autoSpaceDE/>
        <w:autoSpaceDN/>
        <w:bidi w:val="0"/>
        <w:adjustRightInd/>
        <w:snapToGrid/>
        <w:spacing w:line="500" w:lineRule="exact"/>
        <w:textAlignment w:val="auto"/>
        <w:outlineLvl w:val="3"/>
        <w:rPr>
          <w:rFonts w:ascii="宋体" w:hAnsi="宋体" w:eastAsia="宋体" w:cs="宋体"/>
          <w:b/>
          <w:bCs/>
          <w:color w:val="auto"/>
          <w:sz w:val="24"/>
          <w:lang w:val="zh-CN"/>
        </w:rPr>
      </w:pPr>
      <w:bookmarkStart w:id="1633" w:name="_Toc2232"/>
      <w:bookmarkStart w:id="1634" w:name="_Toc24059"/>
      <w:bookmarkStart w:id="1635" w:name="_Toc3029"/>
      <w:r>
        <w:rPr>
          <w:rFonts w:hint="eastAsia" w:ascii="宋体" w:hAnsi="宋体" w:eastAsia="宋体" w:cs="宋体"/>
          <w:b/>
          <w:bCs/>
          <w:color w:val="auto"/>
          <w:sz w:val="24"/>
          <w:lang w:val="zh-CN"/>
        </w:rPr>
        <w:t>一、 合同组成部分</w:t>
      </w:r>
      <w:bookmarkEnd w:id="1633"/>
      <w:bookmarkEnd w:id="1634"/>
      <w:bookmarkEnd w:id="1635"/>
    </w:p>
    <w:p w14:paraId="1EF494C1">
      <w:pPr>
        <w:keepNext w:val="0"/>
        <w:keepLines w:val="0"/>
        <w:pageBreakBefore w:val="0"/>
        <w:kinsoku/>
        <w:wordWrap/>
        <w:overflowPunct/>
        <w:topLinePunct w:val="0"/>
        <w:autoSpaceDE/>
        <w:autoSpaceDN/>
        <w:bidi w:val="0"/>
        <w:adjustRightInd/>
        <w:snapToGrid/>
        <w:spacing w:line="500" w:lineRule="exact"/>
        <w:ind w:firstLine="435"/>
        <w:textAlignment w:val="auto"/>
        <w:rPr>
          <w:rFonts w:ascii="宋体" w:hAnsi="宋体" w:eastAsia="宋体" w:cs="宋体"/>
          <w:color w:val="auto"/>
          <w:sz w:val="24"/>
          <w:lang w:val="zh-CN"/>
        </w:rPr>
      </w:pPr>
      <w:bookmarkStart w:id="1636" w:name="_Toc6773"/>
      <w:bookmarkStart w:id="1637" w:name="_Toc2918"/>
      <w:bookmarkStart w:id="1638" w:name="_Toc22185"/>
      <w:bookmarkStart w:id="1639" w:name="_Toc18585"/>
      <w:bookmarkStart w:id="1640" w:name="_Toc6311"/>
      <w:bookmarkStart w:id="1641" w:name="_Toc23292"/>
      <w:bookmarkStart w:id="1642" w:name="_Toc21631"/>
      <w:bookmarkStart w:id="1643" w:name="_Toc21551"/>
      <w:r>
        <w:rPr>
          <w:rFonts w:hint="eastAsia" w:ascii="宋体" w:hAnsi="宋体" w:eastAsia="宋体" w:cs="宋体"/>
          <w:color w:val="auto"/>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5965A2D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z w:val="24"/>
          <w:lang w:val="zh-CN"/>
        </w:rPr>
      </w:pPr>
      <w:r>
        <w:rPr>
          <w:rFonts w:hint="eastAsia" w:ascii="宋体" w:hAnsi="宋体" w:eastAsia="宋体" w:cs="宋体"/>
          <w:color w:val="auto"/>
          <w:sz w:val="24"/>
        </w:rPr>
        <w:t>1、</w:t>
      </w:r>
      <w:r>
        <w:rPr>
          <w:rFonts w:hint="eastAsia" w:ascii="宋体" w:hAnsi="宋体" w:eastAsia="宋体" w:cs="宋体"/>
          <w:color w:val="auto"/>
          <w:sz w:val="24"/>
          <w:lang w:val="zh-CN"/>
        </w:rPr>
        <w:t>本合同及其补充合同、变更协议；</w:t>
      </w:r>
    </w:p>
    <w:p w14:paraId="1FFDA5D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中标通知书；</w:t>
      </w:r>
    </w:p>
    <w:p w14:paraId="186954F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z w:val="24"/>
          <w:lang w:val="zh-CN"/>
        </w:rPr>
      </w:pPr>
      <w:r>
        <w:rPr>
          <w:rFonts w:hint="eastAsia" w:ascii="宋体" w:hAnsi="宋体" w:eastAsia="宋体" w:cs="宋体"/>
          <w:color w:val="auto"/>
          <w:sz w:val="24"/>
        </w:rPr>
        <w:t>3、</w:t>
      </w:r>
      <w:r>
        <w:rPr>
          <w:rFonts w:hint="eastAsia" w:ascii="宋体" w:hAnsi="宋体" w:eastAsia="宋体" w:cs="宋体"/>
          <w:color w:val="auto"/>
          <w:sz w:val="24"/>
          <w:lang w:val="zh-CN"/>
        </w:rPr>
        <w:t>投标文件；</w:t>
      </w:r>
    </w:p>
    <w:p w14:paraId="3DE8042C">
      <w:pPr>
        <w:keepNext w:val="0"/>
        <w:keepLines w:val="0"/>
        <w:pageBreakBefore w:val="0"/>
        <w:kinsoku/>
        <w:wordWrap/>
        <w:overflowPunct/>
        <w:topLinePunct w:val="0"/>
        <w:autoSpaceDE/>
        <w:autoSpaceDN/>
        <w:bidi w:val="0"/>
        <w:adjustRightInd/>
        <w:snapToGrid/>
        <w:spacing w:line="500" w:lineRule="exact"/>
        <w:ind w:firstLine="435"/>
        <w:textAlignment w:val="auto"/>
        <w:rPr>
          <w:rFonts w:ascii="宋体" w:hAnsi="宋体" w:eastAsia="宋体" w:cs="宋体"/>
          <w:color w:val="auto"/>
          <w:sz w:val="24"/>
          <w:lang w:val="zh-CN"/>
        </w:rPr>
      </w:pPr>
      <w:r>
        <w:rPr>
          <w:rFonts w:hint="eastAsia" w:ascii="宋体" w:hAnsi="宋体" w:eastAsia="宋体" w:cs="宋体"/>
          <w:color w:val="auto"/>
          <w:sz w:val="24"/>
        </w:rPr>
        <w:t>4、磋商</w:t>
      </w:r>
      <w:r>
        <w:rPr>
          <w:rFonts w:hint="eastAsia" w:ascii="宋体" w:hAnsi="宋体" w:eastAsia="宋体" w:cs="宋体"/>
          <w:color w:val="auto"/>
          <w:sz w:val="24"/>
          <w:lang w:val="zh-CN"/>
        </w:rPr>
        <w:t>文件（含澄清或者修改文件）；</w:t>
      </w:r>
    </w:p>
    <w:p w14:paraId="439FE7FE">
      <w:pPr>
        <w:keepNext w:val="0"/>
        <w:keepLines w:val="0"/>
        <w:pageBreakBefore w:val="0"/>
        <w:kinsoku/>
        <w:wordWrap/>
        <w:overflowPunct/>
        <w:topLinePunct w:val="0"/>
        <w:autoSpaceDE/>
        <w:autoSpaceDN/>
        <w:bidi w:val="0"/>
        <w:adjustRightInd/>
        <w:snapToGrid/>
        <w:spacing w:line="500" w:lineRule="exact"/>
        <w:ind w:firstLine="435"/>
        <w:textAlignment w:val="auto"/>
        <w:rPr>
          <w:rFonts w:ascii="宋体" w:hAnsi="宋体" w:eastAsia="宋体" w:cs="宋体"/>
          <w:color w:val="auto"/>
          <w:sz w:val="24"/>
          <w:lang w:val="zh-CN"/>
        </w:rPr>
      </w:pPr>
      <w:r>
        <w:rPr>
          <w:rFonts w:hint="eastAsia" w:ascii="宋体" w:hAnsi="宋体" w:eastAsia="宋体" w:cs="宋体"/>
          <w:color w:val="auto"/>
          <w:sz w:val="24"/>
        </w:rPr>
        <w:t>5、</w:t>
      </w:r>
      <w:r>
        <w:rPr>
          <w:rFonts w:hint="eastAsia" w:ascii="宋体" w:hAnsi="宋体" w:eastAsia="宋体" w:cs="宋体"/>
          <w:color w:val="auto"/>
          <w:sz w:val="24"/>
          <w:lang w:val="zh-CN"/>
        </w:rPr>
        <w:t>其他相关采购文件。</w:t>
      </w:r>
    </w:p>
    <w:p w14:paraId="1C9D7842">
      <w:pPr>
        <w:keepNext w:val="0"/>
        <w:keepLines w:val="0"/>
        <w:pageBreakBefore w:val="0"/>
        <w:kinsoku/>
        <w:wordWrap/>
        <w:overflowPunct/>
        <w:topLinePunct w:val="0"/>
        <w:autoSpaceDE/>
        <w:autoSpaceDN/>
        <w:bidi w:val="0"/>
        <w:adjustRightInd/>
        <w:snapToGrid/>
        <w:spacing w:line="500" w:lineRule="exact"/>
        <w:textAlignment w:val="auto"/>
        <w:outlineLvl w:val="3"/>
        <w:rPr>
          <w:rFonts w:ascii="宋体" w:hAnsi="宋体" w:eastAsia="宋体" w:cs="宋体"/>
          <w:b/>
          <w:bCs/>
          <w:color w:val="auto"/>
          <w:sz w:val="24"/>
          <w:lang w:val="zh-CN"/>
        </w:rPr>
      </w:pPr>
      <w:r>
        <w:rPr>
          <w:rFonts w:hint="eastAsia" w:ascii="宋体" w:hAnsi="宋体" w:eastAsia="宋体" w:cs="宋体"/>
          <w:b/>
          <w:bCs/>
          <w:color w:val="auto"/>
          <w:sz w:val="24"/>
          <w:lang w:val="zh-CN"/>
        </w:rPr>
        <w:t>二、</w:t>
      </w:r>
      <w:bookmarkEnd w:id="1636"/>
      <w:bookmarkEnd w:id="1637"/>
      <w:bookmarkEnd w:id="1638"/>
      <w:bookmarkEnd w:id="1639"/>
      <w:bookmarkEnd w:id="1640"/>
      <w:r>
        <w:rPr>
          <w:rFonts w:hint="eastAsia" w:ascii="宋体" w:hAnsi="宋体" w:eastAsia="宋体" w:cs="宋体"/>
          <w:b/>
          <w:bCs/>
          <w:color w:val="auto"/>
          <w:sz w:val="24"/>
          <w:lang w:val="zh-CN"/>
        </w:rPr>
        <w:t>服务内容</w:t>
      </w:r>
    </w:p>
    <w:p w14:paraId="061057CA">
      <w:pPr>
        <w:keepNext w:val="0"/>
        <w:keepLines w:val="0"/>
        <w:pageBreakBefore w:val="0"/>
        <w:kinsoku/>
        <w:wordWrap/>
        <w:overflowPunct/>
        <w:topLinePunct w:val="0"/>
        <w:autoSpaceDE/>
        <w:autoSpaceDN/>
        <w:bidi w:val="0"/>
        <w:adjustRightInd/>
        <w:snapToGrid/>
        <w:spacing w:line="500" w:lineRule="exact"/>
        <w:textAlignment w:val="auto"/>
        <w:outlineLvl w:val="3"/>
        <w:rPr>
          <w:rFonts w:ascii="宋体" w:hAnsi="宋体" w:eastAsia="宋体" w:cs="宋体"/>
          <w:b/>
          <w:bCs/>
          <w:color w:val="auto"/>
          <w:sz w:val="24"/>
          <w:lang w:val="zh-CN"/>
        </w:rPr>
      </w:pPr>
      <w:r>
        <w:rPr>
          <w:rFonts w:hint="eastAsia" w:ascii="宋体" w:hAnsi="宋体" w:eastAsia="宋体" w:cs="宋体"/>
          <w:b/>
          <w:bCs/>
          <w:color w:val="auto"/>
          <w:sz w:val="24"/>
          <w:lang w:val="zh-CN"/>
        </w:rPr>
        <w:t>三、合同价款</w:t>
      </w:r>
      <w:bookmarkEnd w:id="1641"/>
      <w:bookmarkEnd w:id="1642"/>
      <w:bookmarkEnd w:id="1643"/>
    </w:p>
    <w:p w14:paraId="498FBDA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z w:val="24"/>
          <w:u w:val="single" w:color="000000"/>
        </w:rPr>
      </w:pPr>
      <w:bookmarkStart w:id="1644" w:name="_Toc22618"/>
      <w:bookmarkStart w:id="1645" w:name="_Toc10340"/>
      <w:bookmarkStart w:id="1646" w:name="_Toc1814"/>
      <w:r>
        <w:rPr>
          <w:rFonts w:hint="eastAsia" w:ascii="宋体" w:hAnsi="宋体" w:eastAsia="宋体" w:cs="宋体"/>
          <w:color w:val="auto"/>
          <w:sz w:val="24"/>
        </w:rPr>
        <w:t>（人民币）</w:t>
      </w:r>
      <w:r>
        <w:rPr>
          <w:rFonts w:hint="eastAsia" w:ascii="宋体" w:hAnsi="宋体" w:eastAsia="宋体" w:cs="宋体"/>
          <w:color w:val="auto"/>
          <w:sz w:val="24"/>
          <w:u w:val="single" w:color="000000"/>
        </w:rPr>
        <w:t xml:space="preserve">大写：              </w:t>
      </w:r>
      <w:r>
        <w:rPr>
          <w:rFonts w:hint="eastAsia" w:ascii="宋体" w:hAnsi="宋体" w:eastAsia="宋体" w:cs="宋体"/>
          <w:color w:val="auto"/>
          <w:sz w:val="24"/>
          <w:u w:val="single" w:color="000000"/>
          <w:lang w:val="en-US" w:eastAsia="zh-CN"/>
        </w:rPr>
        <w:t>/</w:t>
      </w:r>
      <w:r>
        <w:rPr>
          <w:rFonts w:hint="eastAsia" w:ascii="宋体" w:hAnsi="宋体" w:eastAsia="宋体" w:cs="宋体"/>
          <w:color w:val="auto"/>
          <w:sz w:val="24"/>
          <w:u w:val="single" w:color="000000"/>
          <w:lang w:eastAsia="zh-CN"/>
        </w:rPr>
        <w:t>年</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u w:val="single" w:color="000000"/>
          <w:lang w:val="en-US" w:eastAsia="zh-CN"/>
        </w:rPr>
        <w:t>/</w:t>
      </w:r>
      <w:r>
        <w:rPr>
          <w:rFonts w:hint="eastAsia" w:ascii="宋体" w:hAnsi="宋体" w:eastAsia="宋体" w:cs="宋体"/>
          <w:color w:val="auto"/>
          <w:sz w:val="24"/>
          <w:u w:val="single" w:color="000000"/>
          <w:lang w:eastAsia="zh-CN"/>
        </w:rPr>
        <w:t>年</w:t>
      </w:r>
      <w:r>
        <w:rPr>
          <w:rFonts w:hint="eastAsia" w:ascii="宋体" w:hAnsi="宋体" w:eastAsia="宋体" w:cs="宋体"/>
          <w:color w:val="auto"/>
          <w:sz w:val="24"/>
          <w:u w:val="single" w:color="000000"/>
        </w:rPr>
        <w:t xml:space="preserve"> ）。</w:t>
      </w:r>
    </w:p>
    <w:p w14:paraId="6721B60C">
      <w:pPr>
        <w:keepNext w:val="0"/>
        <w:keepLines w:val="0"/>
        <w:pageBreakBefore w:val="0"/>
        <w:kinsoku/>
        <w:wordWrap/>
        <w:overflowPunct/>
        <w:topLinePunct w:val="0"/>
        <w:autoSpaceDE/>
        <w:autoSpaceDN/>
        <w:bidi w:val="0"/>
        <w:adjustRightInd/>
        <w:snapToGrid/>
        <w:spacing w:line="500" w:lineRule="exact"/>
        <w:textAlignment w:val="auto"/>
        <w:rPr>
          <w:rFonts w:ascii="宋体" w:hAnsi="宋体" w:eastAsia="宋体" w:cs="宋体"/>
          <w:b/>
          <w:color w:val="auto"/>
          <w:sz w:val="24"/>
        </w:rPr>
      </w:pPr>
      <w:r>
        <w:rPr>
          <w:rFonts w:hint="eastAsia" w:ascii="宋体" w:hAnsi="宋体" w:eastAsia="宋体" w:cs="宋体"/>
          <w:b/>
          <w:color w:val="auto"/>
          <w:sz w:val="24"/>
        </w:rPr>
        <w:t>四、服务期限</w:t>
      </w:r>
    </w:p>
    <w:p w14:paraId="0273975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b/>
          <w:color w:val="auto"/>
          <w:sz w:val="24"/>
          <w:u w:val="single" w:color="000000"/>
        </w:rPr>
      </w:pPr>
      <w:r>
        <w:rPr>
          <w:rFonts w:hint="eastAsia" w:ascii="宋体" w:hAnsi="宋体" w:eastAsia="宋体" w:cs="宋体"/>
          <w:color w:val="auto"/>
          <w:kern w:val="0"/>
          <w:sz w:val="24"/>
        </w:rPr>
        <w:t>本合同履行服务期限：</w:t>
      </w:r>
      <w:r>
        <w:rPr>
          <w:rFonts w:hint="eastAsia" w:ascii="宋体" w:hAnsi="宋体" w:eastAsia="宋体" w:cs="宋体"/>
          <w:b/>
          <w:bCs/>
          <w:color w:val="auto"/>
          <w:kern w:val="2"/>
          <w:sz w:val="24"/>
          <w:szCs w:val="24"/>
          <w:u w:val="single"/>
        </w:rPr>
        <w:t>一年(1+1+1共三年）</w:t>
      </w:r>
      <w:r>
        <w:rPr>
          <w:rFonts w:hint="eastAsia" w:ascii="宋体" w:hAnsi="宋体" w:eastAsia="宋体" w:cs="宋体"/>
          <w:b/>
          <w:bCs/>
          <w:color w:val="auto"/>
          <w:sz w:val="24"/>
          <w:szCs w:val="24"/>
          <w:u w:val="single"/>
        </w:rPr>
        <w:t>服务满意后，续签合同</w:t>
      </w:r>
    </w:p>
    <w:p w14:paraId="0EDE7374">
      <w:pPr>
        <w:keepNext w:val="0"/>
        <w:keepLines w:val="0"/>
        <w:pageBreakBefore w:val="0"/>
        <w:kinsoku/>
        <w:wordWrap/>
        <w:overflowPunct/>
        <w:topLinePunct w:val="0"/>
        <w:autoSpaceDE/>
        <w:autoSpaceDN/>
        <w:bidi w:val="0"/>
        <w:adjustRightInd/>
        <w:snapToGrid/>
        <w:spacing w:line="500" w:lineRule="exact"/>
        <w:textAlignment w:val="auto"/>
        <w:rPr>
          <w:rFonts w:hint="default" w:ascii="宋体" w:hAnsi="宋体" w:eastAsia="宋体" w:cs="宋体"/>
          <w:b/>
          <w:bCs/>
          <w:color w:val="auto"/>
          <w:sz w:val="24"/>
          <w:lang w:val="en-US"/>
        </w:rPr>
      </w:pPr>
      <w:r>
        <w:rPr>
          <w:rFonts w:hint="eastAsia" w:ascii="宋体" w:hAnsi="宋体" w:eastAsia="宋体" w:cs="宋体"/>
          <w:b/>
          <w:bCs/>
          <w:color w:val="auto"/>
          <w:sz w:val="24"/>
        </w:rPr>
        <w:t>五、付款方式：</w:t>
      </w:r>
      <w:r>
        <w:rPr>
          <w:rFonts w:hint="eastAsia" w:ascii="宋体" w:hAnsi="宋体" w:eastAsia="宋体" w:cs="宋体"/>
          <w:b w:val="0"/>
          <w:bCs/>
          <w:color w:val="auto"/>
          <w:sz w:val="24"/>
          <w:szCs w:val="24"/>
        </w:rPr>
        <w:t>合同签订后，</w:t>
      </w:r>
      <w:r>
        <w:rPr>
          <w:rFonts w:hint="eastAsia" w:ascii="宋体" w:hAnsi="宋体" w:eastAsia="宋体" w:cs="宋体"/>
          <w:b w:val="0"/>
          <w:bCs/>
          <w:color w:val="auto"/>
          <w:sz w:val="24"/>
          <w:szCs w:val="24"/>
          <w:lang w:val="en-US" w:eastAsia="zh-CN"/>
        </w:rPr>
        <w:t>预付合同价款10%，</w:t>
      </w:r>
      <w:r>
        <w:rPr>
          <w:rFonts w:hint="eastAsia" w:ascii="宋体" w:hAnsi="宋体" w:eastAsia="宋体" w:cs="宋体"/>
          <w:b w:val="0"/>
          <w:bCs/>
          <w:color w:val="auto"/>
          <w:sz w:val="24"/>
          <w:szCs w:val="24"/>
        </w:rPr>
        <w:t>按期</w:t>
      </w:r>
      <w:r>
        <w:rPr>
          <w:rFonts w:hint="eastAsia" w:ascii="宋体" w:hAnsi="宋体" w:eastAsia="宋体" w:cs="宋体"/>
          <w:b w:val="0"/>
          <w:bCs/>
          <w:color w:val="auto"/>
          <w:sz w:val="24"/>
          <w:szCs w:val="24"/>
          <w:lang w:val="en-US" w:eastAsia="zh-CN"/>
        </w:rPr>
        <w:t>服务</w:t>
      </w:r>
      <w:r>
        <w:rPr>
          <w:rFonts w:hint="eastAsia" w:ascii="宋体" w:eastAsia="宋体" w:cs="宋体"/>
          <w:b w:val="0"/>
          <w:bCs/>
          <w:color w:val="auto"/>
          <w:sz w:val="24"/>
          <w:szCs w:val="24"/>
          <w:lang w:eastAsia="zh-CN"/>
        </w:rPr>
        <w:t>合格</w:t>
      </w:r>
      <w:r>
        <w:rPr>
          <w:rFonts w:hint="eastAsia" w:ascii="宋体" w:eastAsia="宋体" w:cs="宋体"/>
          <w:b w:val="0"/>
          <w:bCs/>
          <w:color w:val="auto"/>
          <w:sz w:val="24"/>
          <w:szCs w:val="24"/>
          <w:lang w:val="en-US" w:eastAsia="zh-CN"/>
        </w:rPr>
        <w:t>后</w:t>
      </w:r>
      <w:r>
        <w:rPr>
          <w:rFonts w:hint="eastAsia" w:ascii="宋体" w:eastAsia="宋体" w:cs="宋体"/>
          <w:b w:val="0"/>
          <w:bCs/>
          <w:color w:val="auto"/>
          <w:sz w:val="24"/>
          <w:szCs w:val="24"/>
          <w:lang w:eastAsia="zh-CN"/>
        </w:rPr>
        <w:t>，双方无异议付合同价款</w:t>
      </w:r>
      <w:r>
        <w:rPr>
          <w:rFonts w:hint="eastAsia" w:ascii="宋体" w:eastAsia="宋体" w:cs="宋体"/>
          <w:b w:val="0"/>
          <w:bCs/>
          <w:color w:val="auto"/>
          <w:sz w:val="24"/>
          <w:szCs w:val="24"/>
          <w:lang w:val="en-US" w:eastAsia="zh-CN"/>
        </w:rPr>
        <w:t>90%。</w:t>
      </w:r>
    </w:p>
    <w:bookmarkEnd w:id="1644"/>
    <w:bookmarkEnd w:id="1645"/>
    <w:bookmarkEnd w:id="1646"/>
    <w:p w14:paraId="25724856">
      <w:pPr>
        <w:keepNext w:val="0"/>
        <w:keepLines w:val="0"/>
        <w:pageBreakBefore w:val="0"/>
        <w:kinsoku/>
        <w:wordWrap/>
        <w:overflowPunct/>
        <w:topLinePunct w:val="0"/>
        <w:autoSpaceDE/>
        <w:autoSpaceDN/>
        <w:bidi w:val="0"/>
        <w:adjustRightInd/>
        <w:snapToGrid/>
        <w:spacing w:line="500" w:lineRule="exact"/>
        <w:textAlignment w:val="auto"/>
        <w:outlineLvl w:val="3"/>
        <w:rPr>
          <w:rFonts w:ascii="宋体" w:hAnsi="宋体" w:eastAsia="宋体" w:cs="宋体"/>
          <w:b/>
          <w:bCs/>
          <w:color w:val="auto"/>
          <w:sz w:val="24"/>
          <w:lang w:val="zh-CN"/>
        </w:rPr>
      </w:pPr>
      <w:bookmarkStart w:id="1647" w:name="_Toc27250"/>
      <w:bookmarkStart w:id="1648" w:name="_Toc19554"/>
      <w:bookmarkStart w:id="1649" w:name="_Toc21423"/>
      <w:r>
        <w:rPr>
          <w:rFonts w:hint="eastAsia" w:ascii="宋体" w:hAnsi="宋体" w:eastAsia="宋体" w:cs="宋体"/>
          <w:b/>
          <w:bCs/>
          <w:color w:val="auto"/>
          <w:sz w:val="24"/>
          <w:lang w:val="zh-CN" w:eastAsia="zh-CN"/>
        </w:rPr>
        <w:t>六</w:t>
      </w:r>
      <w:r>
        <w:rPr>
          <w:rFonts w:hint="eastAsia" w:ascii="宋体" w:hAnsi="宋体" w:eastAsia="宋体" w:cs="宋体"/>
          <w:b/>
          <w:bCs/>
          <w:color w:val="auto"/>
          <w:sz w:val="24"/>
          <w:lang w:val="zh-CN"/>
        </w:rPr>
        <w:t>、违约责任</w:t>
      </w:r>
      <w:bookmarkEnd w:id="1647"/>
      <w:bookmarkEnd w:id="1648"/>
      <w:bookmarkEnd w:id="1649"/>
    </w:p>
    <w:p w14:paraId="72C3996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u w:val="single"/>
        </w:rPr>
        <w:t xml:space="preserve"> 0.05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5 </w:t>
      </w:r>
      <w:r>
        <w:rPr>
          <w:rFonts w:hint="eastAsia" w:ascii="宋体" w:hAnsi="宋体" w:eastAsia="宋体" w:cs="宋体"/>
          <w:color w:val="auto"/>
          <w:sz w:val="24"/>
        </w:rPr>
        <w:t>%；迟延履行的违约金计算数额达到前述最高限额之日起，甲方有权在要求乙方支付违约金的同时，书面通知乙方解除本合同；</w:t>
      </w:r>
    </w:p>
    <w:p w14:paraId="0C4F00C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0.05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5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281A977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6310A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4、任何一方按照前述约定要求违约方支付违约金的同时，仍有权要求违约方继续履行合同、采取补救措施，并有权按照乙方实际损失情况要求违约方赔偿损失；任何一方按照前述约定要求解除本合同的同时，仍有权要求违约方支付违约金和按照乙方实际损失情况要求违约方赔偿损失；且守约方行使的任何权利救济方式均不视为其放弃了其他法定或者约定的权利救济方式；</w:t>
      </w:r>
    </w:p>
    <w:p w14:paraId="5BFB2C3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8F1FD3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6、如果出现政府采购监督管理部门在处理投诉事项期间，书面通知甲方暂停采购活动的情形，或者询问或质疑事项可能影响中标结果的，导致甲方中止履行合同的情形，均不视为甲方违约。</w:t>
      </w:r>
    </w:p>
    <w:p w14:paraId="0DC2A00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rPr>
        <w:t xml:space="preserve"> 保密</w:t>
      </w:r>
    </w:p>
    <w:p w14:paraId="603C498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1B1C4BEF">
      <w:pPr>
        <w:keepNext w:val="0"/>
        <w:keepLines w:val="0"/>
        <w:pageBreakBefore w:val="0"/>
        <w:kinsoku/>
        <w:wordWrap/>
        <w:overflowPunct/>
        <w:topLinePunct w:val="0"/>
        <w:autoSpaceDE/>
        <w:autoSpaceDN/>
        <w:bidi w:val="0"/>
        <w:adjustRightInd/>
        <w:snapToGrid/>
        <w:spacing w:line="500" w:lineRule="exact"/>
        <w:textAlignment w:val="auto"/>
        <w:outlineLvl w:val="3"/>
        <w:rPr>
          <w:rFonts w:hint="eastAsia" w:ascii="宋体" w:hAnsi="宋体" w:eastAsia="宋体" w:cs="宋体"/>
          <w:b/>
          <w:bCs/>
          <w:color w:val="auto"/>
          <w:sz w:val="24"/>
        </w:rPr>
      </w:pPr>
      <w:bookmarkStart w:id="1650" w:name="_Toc15583"/>
      <w:r>
        <w:rPr>
          <w:rFonts w:hint="eastAsia" w:ascii="宋体" w:hAnsi="宋体" w:eastAsia="宋体" w:cs="宋体"/>
          <w:b/>
          <w:bCs/>
          <w:color w:val="auto"/>
          <w:sz w:val="24"/>
          <w:lang w:eastAsia="zh-CN"/>
        </w:rPr>
        <w:t>八</w:t>
      </w:r>
      <w:r>
        <w:rPr>
          <w:rFonts w:hint="eastAsia" w:ascii="宋体" w:hAnsi="宋体" w:eastAsia="宋体" w:cs="宋体"/>
          <w:b/>
          <w:bCs/>
          <w:color w:val="auto"/>
          <w:sz w:val="24"/>
        </w:rPr>
        <w:t>、合同争议的解决</w:t>
      </w:r>
      <w:bookmarkEnd w:id="1650"/>
    </w:p>
    <w:p w14:paraId="4703A68F">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rPr>
      </w:pPr>
      <w:r>
        <w:rPr>
          <w:rFonts w:hint="eastAsia" w:ascii="宋体" w:hAnsi="宋体" w:eastAsia="宋体" w:cs="宋体"/>
          <w:color w:val="auto"/>
          <w:sz w:val="24"/>
        </w:rPr>
        <w:t>本合同履行过程中发生的任何争议，双方当事人均可通过和解或者调解解决；不愿和解、调解或者和解、调解不成的，可以向</w:t>
      </w:r>
      <w:r>
        <w:rPr>
          <w:rFonts w:hint="eastAsia" w:ascii="宋体" w:hAnsi="宋体" w:eastAsia="宋体" w:cs="宋体"/>
          <w:color w:val="auto"/>
          <w:sz w:val="24"/>
          <w:u w:val="single"/>
        </w:rPr>
        <w:t xml:space="preserve"> </w:t>
      </w:r>
      <w:r>
        <w:rPr>
          <w:rFonts w:hint="eastAsia" w:ascii="宋体" w:hAnsi="宋体" w:eastAsia="宋体" w:cs="宋体"/>
          <w:b/>
          <w:bCs/>
          <w:color w:val="auto"/>
          <w:sz w:val="24"/>
          <w:u w:val="single"/>
        </w:rPr>
        <w:t>项目所在地</w:t>
      </w:r>
      <w:r>
        <w:rPr>
          <w:rFonts w:hint="eastAsia" w:ascii="宋体" w:hAnsi="宋体" w:eastAsia="宋体" w:cs="宋体"/>
          <w:color w:val="auto"/>
          <w:sz w:val="24"/>
          <w:u w:val="single"/>
        </w:rPr>
        <w:t xml:space="preserve"> </w:t>
      </w:r>
      <w:r>
        <w:rPr>
          <w:rFonts w:hint="eastAsia" w:ascii="宋体" w:hAnsi="宋体" w:eastAsia="宋体" w:cs="宋体"/>
          <w:color w:val="auto"/>
          <w:sz w:val="24"/>
        </w:rPr>
        <w:t>人民法院起诉：</w:t>
      </w:r>
    </w:p>
    <w:p w14:paraId="287C470D">
      <w:pPr>
        <w:keepNext w:val="0"/>
        <w:keepLines w:val="0"/>
        <w:pageBreakBefore w:val="0"/>
        <w:kinsoku/>
        <w:wordWrap/>
        <w:overflowPunct/>
        <w:topLinePunct w:val="0"/>
        <w:autoSpaceDE/>
        <w:autoSpaceDN/>
        <w:bidi w:val="0"/>
        <w:adjustRightInd/>
        <w:snapToGrid/>
        <w:spacing w:line="500" w:lineRule="exact"/>
        <w:textAlignment w:val="auto"/>
        <w:outlineLvl w:val="3"/>
        <w:rPr>
          <w:rFonts w:hint="eastAsia" w:ascii="宋体" w:hAnsi="宋体" w:eastAsia="宋体" w:cs="宋体"/>
          <w:b/>
          <w:bCs/>
          <w:color w:val="auto"/>
          <w:sz w:val="24"/>
        </w:rPr>
      </w:pPr>
      <w:bookmarkStart w:id="1651" w:name="_Toc15322"/>
      <w:bookmarkEnd w:id="1651"/>
      <w:bookmarkStart w:id="1652" w:name="_Toc11173"/>
      <w:bookmarkEnd w:id="1652"/>
      <w:bookmarkStart w:id="1653" w:name="_Toc7245"/>
      <w:r>
        <w:rPr>
          <w:rFonts w:hint="eastAsia" w:ascii="宋体" w:hAnsi="宋体" w:eastAsia="宋体" w:cs="宋体"/>
          <w:b/>
          <w:bCs/>
          <w:color w:val="auto"/>
          <w:sz w:val="24"/>
          <w:lang w:eastAsia="zh-CN"/>
        </w:rPr>
        <w:t>九</w:t>
      </w:r>
      <w:r>
        <w:rPr>
          <w:rFonts w:hint="eastAsia" w:ascii="宋体" w:hAnsi="宋体" w:eastAsia="宋体" w:cs="宋体"/>
          <w:b/>
          <w:bCs/>
          <w:color w:val="auto"/>
          <w:sz w:val="24"/>
        </w:rPr>
        <w:t>、合同生效</w:t>
      </w:r>
      <w:bookmarkEnd w:id="1653"/>
    </w:p>
    <w:p w14:paraId="132AF54A">
      <w:pPr>
        <w:pStyle w:val="25"/>
        <w:keepNext w:val="0"/>
        <w:keepLines w:val="0"/>
        <w:pageBreakBefore w:val="0"/>
        <w:kinsoku/>
        <w:wordWrap/>
        <w:overflowPunct/>
        <w:topLinePunct w:val="0"/>
        <w:autoSpaceDE/>
        <w:autoSpaceDN/>
        <w:bidi w:val="0"/>
        <w:adjustRightInd/>
        <w:snapToGrid/>
        <w:spacing w:before="156" w:beforeLines="50" w:after="93" w:afterLines="30" w:line="5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本合同一式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份，甲乙双方各执</w:t>
      </w:r>
      <w:r>
        <w:rPr>
          <w:rFonts w:hint="eastAsia" w:ascii="宋体" w:hAnsi="宋体" w:eastAsia="宋体" w:cs="宋体"/>
          <w:color w:val="auto"/>
          <w:sz w:val="24"/>
          <w:szCs w:val="24"/>
          <w:u w:val="single"/>
        </w:rPr>
        <w:t xml:space="preserve">  贰 </w:t>
      </w:r>
      <w:r>
        <w:rPr>
          <w:rFonts w:hint="eastAsia" w:ascii="宋体" w:hAnsi="宋体" w:eastAsia="宋体" w:cs="宋体"/>
          <w:color w:val="auto"/>
          <w:sz w:val="24"/>
          <w:szCs w:val="24"/>
        </w:rPr>
        <w:t>份，招标代理各留存</w:t>
      </w:r>
      <w:r>
        <w:rPr>
          <w:rFonts w:hint="eastAsia" w:ascii="宋体" w:hAnsi="宋体" w:eastAsia="宋体" w:cs="宋体"/>
          <w:color w:val="auto"/>
          <w:sz w:val="24"/>
          <w:szCs w:val="24"/>
          <w:u w:val="single"/>
        </w:rPr>
        <w:t xml:space="preserve">  壹 </w:t>
      </w:r>
      <w:r>
        <w:rPr>
          <w:rFonts w:hint="eastAsia" w:ascii="宋体" w:hAnsi="宋体" w:eastAsia="宋体" w:cs="宋体"/>
          <w:color w:val="auto"/>
          <w:sz w:val="24"/>
          <w:szCs w:val="24"/>
        </w:rPr>
        <w:t>份，自双方当事人签字盖章之日起生效。</w:t>
      </w:r>
    </w:p>
    <w:p w14:paraId="0E679D18">
      <w:pPr>
        <w:pStyle w:val="25"/>
        <w:keepNext w:val="0"/>
        <w:keepLines w:val="0"/>
        <w:pageBreakBefore w:val="0"/>
        <w:kinsoku/>
        <w:wordWrap/>
        <w:overflowPunct/>
        <w:topLinePunct w:val="0"/>
        <w:autoSpaceDE/>
        <w:autoSpaceDN/>
        <w:bidi w:val="0"/>
        <w:adjustRightInd/>
        <w:snapToGrid/>
        <w:spacing w:before="156" w:beforeLines="50" w:after="93" w:afterLines="30"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采购人（甲方）：（公章）                    服务人（乙方）：（公章）  </w:t>
      </w:r>
    </w:p>
    <w:p w14:paraId="7F03E637">
      <w:pPr>
        <w:pStyle w:val="25"/>
        <w:keepNext w:val="0"/>
        <w:keepLines w:val="0"/>
        <w:pageBreakBefore w:val="0"/>
        <w:kinsoku/>
        <w:wordWrap/>
        <w:overflowPunct/>
        <w:topLinePunct w:val="0"/>
        <w:autoSpaceDE/>
        <w:autoSpaceDN/>
        <w:bidi w:val="0"/>
        <w:adjustRightInd/>
        <w:snapToGrid/>
        <w:spacing w:before="156" w:beforeLines="50" w:after="93" w:afterLines="30"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法定代表人或委托代理人：                    法定代表人（单位负责人）或委托代理人： </w:t>
      </w:r>
    </w:p>
    <w:p w14:paraId="43053DCB">
      <w:pPr>
        <w:pStyle w:val="25"/>
        <w:keepNext w:val="0"/>
        <w:keepLines w:val="0"/>
        <w:pageBreakBefore w:val="0"/>
        <w:kinsoku/>
        <w:wordWrap/>
        <w:overflowPunct/>
        <w:topLinePunct w:val="0"/>
        <w:autoSpaceDE/>
        <w:autoSpaceDN/>
        <w:bidi w:val="0"/>
        <w:adjustRightInd/>
        <w:snapToGrid/>
        <w:spacing w:before="156" w:beforeLines="50" w:after="93" w:afterLines="30"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签字或盖章：                                签字或盖章：</w:t>
      </w:r>
    </w:p>
    <w:p w14:paraId="7224BFB7">
      <w:pPr>
        <w:pStyle w:val="25"/>
        <w:keepNext w:val="0"/>
        <w:keepLines w:val="0"/>
        <w:pageBreakBefore w:val="0"/>
        <w:kinsoku/>
        <w:wordWrap/>
        <w:overflowPunct/>
        <w:topLinePunct w:val="0"/>
        <w:autoSpaceDE/>
        <w:autoSpaceDN/>
        <w:bidi w:val="0"/>
        <w:adjustRightInd/>
        <w:snapToGrid/>
        <w:spacing w:before="156" w:beforeLines="50" w:after="93" w:afterLines="30"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14:paraId="6FBE58DB">
      <w:pPr>
        <w:pStyle w:val="25"/>
        <w:keepNext w:val="0"/>
        <w:keepLines w:val="0"/>
        <w:pageBreakBefore w:val="0"/>
        <w:kinsoku/>
        <w:wordWrap/>
        <w:overflowPunct/>
        <w:topLinePunct w:val="0"/>
        <w:autoSpaceDE/>
        <w:autoSpaceDN/>
        <w:bidi w:val="0"/>
        <w:adjustRightInd/>
        <w:snapToGrid/>
        <w:spacing w:before="156" w:beforeLines="50" w:after="93" w:afterLines="30"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                                   开户银行：</w:t>
      </w:r>
    </w:p>
    <w:p w14:paraId="0BA5CCE2">
      <w:pPr>
        <w:pStyle w:val="25"/>
        <w:keepNext w:val="0"/>
        <w:keepLines w:val="0"/>
        <w:pageBreakBefore w:val="0"/>
        <w:kinsoku/>
        <w:wordWrap/>
        <w:overflowPunct/>
        <w:topLinePunct w:val="0"/>
        <w:autoSpaceDE/>
        <w:autoSpaceDN/>
        <w:bidi w:val="0"/>
        <w:adjustRightInd/>
        <w:snapToGrid/>
        <w:spacing w:before="156" w:beforeLines="50" w:after="93" w:afterLines="30"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                                       账号：</w:t>
      </w:r>
    </w:p>
    <w:p w14:paraId="2093CF2C">
      <w:pPr>
        <w:pStyle w:val="2"/>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202</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u w:val="single"/>
        </w:rPr>
        <w:t xml:space="preserve"> 202</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p>
    <w:p w14:paraId="15B8BF59">
      <w:pPr>
        <w:pStyle w:val="5"/>
        <w:rPr>
          <w:rFonts w:hint="eastAsia"/>
          <w:color w:val="auto"/>
        </w:rPr>
      </w:pPr>
    </w:p>
    <w:p w14:paraId="4B8E5D39">
      <w:pPr>
        <w:ind w:firstLine="3840" w:firstLineChars="1600"/>
        <w:rPr>
          <w:rFonts w:hint="eastAsia" w:asciiTheme="minorEastAsia" w:hAnsiTheme="minorEastAsia" w:cstheme="minorEastAsia"/>
          <w:color w:val="auto"/>
          <w:sz w:val="24"/>
        </w:rPr>
      </w:pPr>
    </w:p>
    <w:p w14:paraId="219B9278">
      <w:pPr>
        <w:ind w:firstLine="3840" w:firstLineChars="1600"/>
        <w:rPr>
          <w:rFonts w:hint="eastAsia" w:asciiTheme="minorEastAsia" w:hAnsiTheme="minorEastAsia" w:cstheme="minorEastAsia"/>
          <w:color w:val="auto"/>
          <w:sz w:val="24"/>
        </w:rPr>
      </w:pPr>
    </w:p>
    <w:p w14:paraId="67390369">
      <w:pPr>
        <w:ind w:firstLine="3840" w:firstLineChars="1600"/>
        <w:rPr>
          <w:rFonts w:hint="eastAsia" w:asciiTheme="minorEastAsia" w:hAnsiTheme="minorEastAsia" w:cstheme="minorEastAsia"/>
          <w:color w:val="auto"/>
          <w:sz w:val="24"/>
        </w:rPr>
      </w:pPr>
    </w:p>
    <w:p w14:paraId="6A88177B">
      <w:pPr>
        <w:ind w:firstLine="3840" w:firstLineChars="1600"/>
        <w:rPr>
          <w:rFonts w:hint="eastAsia" w:asciiTheme="minorEastAsia" w:hAnsiTheme="minorEastAsia" w:cstheme="minorEastAsia"/>
          <w:color w:val="auto"/>
          <w:sz w:val="24"/>
        </w:rPr>
      </w:pPr>
    </w:p>
    <w:p w14:paraId="640F738D">
      <w:pPr>
        <w:ind w:firstLine="3840" w:firstLineChars="1600"/>
        <w:rPr>
          <w:rFonts w:hint="eastAsia" w:asciiTheme="minorEastAsia" w:hAnsiTheme="minorEastAsia" w:cstheme="minorEastAsia"/>
          <w:color w:val="auto"/>
          <w:sz w:val="24"/>
        </w:rPr>
      </w:pPr>
    </w:p>
    <w:p w14:paraId="214BFB07">
      <w:pPr>
        <w:ind w:firstLine="3840" w:firstLineChars="1600"/>
        <w:rPr>
          <w:rFonts w:hint="eastAsia" w:asciiTheme="minorEastAsia" w:hAnsiTheme="minorEastAsia" w:cstheme="minorEastAsia"/>
          <w:color w:val="auto"/>
          <w:sz w:val="24"/>
        </w:rPr>
      </w:pPr>
    </w:p>
    <w:p w14:paraId="09F9280F">
      <w:pPr>
        <w:ind w:firstLine="3840" w:firstLineChars="1600"/>
        <w:rPr>
          <w:rFonts w:hint="eastAsia" w:asciiTheme="minorEastAsia" w:hAnsiTheme="minorEastAsia" w:cstheme="minorEastAsia"/>
          <w:color w:val="auto"/>
          <w:sz w:val="24"/>
        </w:rPr>
      </w:pPr>
    </w:p>
    <w:p w14:paraId="75442AB5">
      <w:pPr>
        <w:ind w:firstLine="3840" w:firstLineChars="1600"/>
        <w:rPr>
          <w:rFonts w:hint="eastAsia" w:asciiTheme="minorEastAsia" w:hAnsiTheme="minorEastAsia" w:cstheme="minorEastAsia"/>
          <w:color w:val="auto"/>
          <w:sz w:val="24"/>
        </w:rPr>
      </w:pPr>
    </w:p>
    <w:p w14:paraId="6B1DE7D5">
      <w:pPr>
        <w:ind w:firstLine="3840" w:firstLineChars="1600"/>
        <w:rPr>
          <w:rFonts w:hint="eastAsia" w:asciiTheme="minorEastAsia" w:hAnsiTheme="minorEastAsia" w:cstheme="minorEastAsia"/>
          <w:color w:val="auto"/>
          <w:sz w:val="24"/>
        </w:rPr>
      </w:pPr>
    </w:p>
    <w:p w14:paraId="64D74D19">
      <w:pPr>
        <w:ind w:firstLine="3840" w:firstLineChars="1600"/>
        <w:rPr>
          <w:rFonts w:asciiTheme="minorEastAsia" w:hAnsiTheme="minorEastAsia" w:cstheme="minorEastAsia"/>
          <w:color w:val="auto"/>
          <w:sz w:val="24"/>
        </w:rPr>
      </w:pPr>
      <w:r>
        <w:rPr>
          <w:rFonts w:hint="eastAsia" w:asciiTheme="minorEastAsia" w:hAnsiTheme="minorEastAsia" w:cstheme="minorEastAsia"/>
          <w:color w:val="auto"/>
          <w:sz w:val="24"/>
        </w:rPr>
        <w:t xml:space="preserve">             </w:t>
      </w:r>
    </w:p>
    <w:p w14:paraId="027E9C27">
      <w:pPr>
        <w:pStyle w:val="8"/>
        <w:jc w:val="center"/>
        <w:rPr>
          <w:rFonts w:hint="default" w:asciiTheme="minorEastAsia" w:hAnsiTheme="minorEastAsia" w:eastAsiaTheme="minorEastAsia" w:cstheme="minorEastAsia"/>
          <w:color w:val="auto"/>
          <w:sz w:val="24"/>
          <w:szCs w:val="24"/>
        </w:rPr>
      </w:pPr>
    </w:p>
    <w:p w14:paraId="137A43FA">
      <w:pPr>
        <w:pStyle w:val="6"/>
        <w:autoSpaceDE w:val="0"/>
        <w:autoSpaceDN w:val="0"/>
        <w:spacing w:line="320" w:lineRule="exact"/>
        <w:rPr>
          <w:rFonts w:ascii="宋体" w:hAnsi="宋体" w:cs="宋体"/>
          <w:color w:val="auto"/>
          <w:kern w:val="15"/>
          <w:sz w:val="28"/>
          <w:szCs w:val="28"/>
          <w:highlight w:val="white"/>
        </w:rPr>
      </w:pPr>
    </w:p>
    <w:p w14:paraId="4CB6DBFF">
      <w:pPr>
        <w:pStyle w:val="6"/>
        <w:tabs>
          <w:tab w:val="left" w:pos="3580"/>
        </w:tabs>
        <w:autoSpaceDE w:val="0"/>
        <w:autoSpaceDN w:val="0"/>
        <w:spacing w:line="320" w:lineRule="exact"/>
        <w:rPr>
          <w:color w:val="auto"/>
        </w:rPr>
      </w:pPr>
      <w:r>
        <w:rPr>
          <w:rFonts w:hint="eastAsia" w:ascii="宋体" w:hAnsi="宋体" w:eastAsia="宋体" w:cs="宋体"/>
          <w:color w:val="auto"/>
          <w:kern w:val="15"/>
          <w:sz w:val="28"/>
          <w:szCs w:val="28"/>
          <w:highlight w:val="white"/>
        </w:rPr>
        <w:tab/>
      </w:r>
      <w:r>
        <w:rPr>
          <w:rFonts w:hint="eastAsia" w:ascii="宋体" w:hAnsi="宋体" w:eastAsia="宋体" w:cs="宋体"/>
          <w:color w:val="auto"/>
          <w:sz w:val="28"/>
          <w:szCs w:val="28"/>
          <w:lang w:bidi="ar"/>
        </w:rPr>
        <w:t xml:space="preserve"> </w:t>
      </w:r>
    </w:p>
    <w:p w14:paraId="7E550E32">
      <w:pPr>
        <w:pStyle w:val="2"/>
        <w:ind w:firstLine="440"/>
        <w:rPr>
          <w:color w:val="auto"/>
        </w:rPr>
      </w:pPr>
    </w:p>
    <w:p w14:paraId="62C1DA1E">
      <w:pPr>
        <w:pStyle w:val="6"/>
        <w:tabs>
          <w:tab w:val="left" w:pos="3580"/>
        </w:tabs>
        <w:autoSpaceDE w:val="0"/>
        <w:autoSpaceDN w:val="0"/>
        <w:spacing w:line="320" w:lineRule="exact"/>
        <w:rPr>
          <w:color w:val="auto"/>
        </w:rPr>
      </w:pPr>
    </w:p>
    <w:p w14:paraId="253742EA">
      <w:pPr>
        <w:pStyle w:val="8"/>
        <w:jc w:val="center"/>
        <w:rPr>
          <w:rFonts w:asciiTheme="majorEastAsia" w:hAnsiTheme="majorEastAsia" w:eastAsiaTheme="majorEastAsia" w:cstheme="majorEastAsia"/>
          <w:color w:val="auto"/>
          <w:sz w:val="28"/>
          <w:szCs w:val="28"/>
        </w:rPr>
      </w:pPr>
      <w:bookmarkStart w:id="1654" w:name="_bookmark6"/>
      <w:bookmarkEnd w:id="1654"/>
      <w:bookmarkStart w:id="1655" w:name="第七章_投标文件格式"/>
      <w:bookmarkEnd w:id="1655"/>
      <w:bookmarkStart w:id="1656" w:name="_Toc29307"/>
      <w:bookmarkStart w:id="1657" w:name="_Toc31089"/>
      <w:bookmarkStart w:id="1658" w:name="_Toc29341"/>
      <w:bookmarkStart w:id="1659" w:name="_Toc20948"/>
    </w:p>
    <w:p w14:paraId="0540CED7">
      <w:pPr>
        <w:pStyle w:val="8"/>
        <w:jc w:val="center"/>
        <w:rPr>
          <w:rFonts w:asciiTheme="majorEastAsia" w:hAnsiTheme="majorEastAsia" w:eastAsiaTheme="majorEastAsia" w:cstheme="majorEastAsia"/>
          <w:color w:val="auto"/>
          <w:sz w:val="28"/>
          <w:szCs w:val="28"/>
        </w:rPr>
      </w:pPr>
    </w:p>
    <w:p w14:paraId="7D85C040">
      <w:pPr>
        <w:pStyle w:val="8"/>
        <w:jc w:val="center"/>
        <w:rPr>
          <w:rFonts w:hint="default" w:asciiTheme="majorEastAsia" w:hAnsiTheme="majorEastAsia" w:eastAsiaTheme="majorEastAsia" w:cstheme="majorEastAsia"/>
          <w:color w:val="auto"/>
          <w:sz w:val="28"/>
          <w:szCs w:val="28"/>
        </w:rPr>
      </w:pPr>
      <w:r>
        <w:rPr>
          <w:rFonts w:asciiTheme="majorEastAsia" w:hAnsiTheme="majorEastAsia" w:eastAsiaTheme="majorEastAsia" w:cstheme="majorEastAsia"/>
          <w:color w:val="auto"/>
          <w:sz w:val="28"/>
          <w:szCs w:val="28"/>
        </w:rPr>
        <w:t>第七章 投标文件格式</w:t>
      </w:r>
      <w:bookmarkEnd w:id="1656"/>
      <w:bookmarkEnd w:id="1657"/>
      <w:bookmarkEnd w:id="1658"/>
      <w:bookmarkEnd w:id="1659"/>
    </w:p>
    <w:p w14:paraId="5AFDC714">
      <w:pPr>
        <w:jc w:val="left"/>
        <w:rPr>
          <w:color w:val="auto"/>
          <w:sz w:val="20"/>
          <w:szCs w:val="22"/>
          <w:highlight w:val="red"/>
        </w:rPr>
      </w:pPr>
      <w:r>
        <w:rPr>
          <w:rFonts w:ascii="Calibri" w:hAnsi="Calibri" w:eastAsia="Calibri" w:cs="Times New Roman"/>
          <w:color w:val="auto"/>
          <w:kern w:val="0"/>
          <w:sz w:val="20"/>
          <w:szCs w:val="22"/>
          <w:highlight w:val="white"/>
          <w:lang w:bidi="ar"/>
        </w:rPr>
        <w:t xml:space="preserve"> </w:t>
      </w:r>
    </w:p>
    <w:p w14:paraId="5F73028E">
      <w:pPr>
        <w:pStyle w:val="6"/>
        <w:widowControl/>
        <w:adjustRightInd w:val="0"/>
        <w:snapToGrid w:val="0"/>
        <w:spacing w:before="62" w:beforeLines="20" w:after="62" w:afterLines="20" w:line="360" w:lineRule="auto"/>
        <w:ind w:right="-4" w:rightChars="-2"/>
        <w:rPr>
          <w:rFonts w:ascii="楷体_GB2312" w:eastAsia="楷体_GB2312" w:cs="楷体_GB2312"/>
          <w:color w:val="auto"/>
          <w:szCs w:val="28"/>
        </w:rPr>
      </w:pPr>
    </w:p>
    <w:p w14:paraId="6735FD0F">
      <w:pPr>
        <w:pStyle w:val="6"/>
        <w:widowControl/>
        <w:adjustRightInd w:val="0"/>
        <w:snapToGrid w:val="0"/>
        <w:spacing w:before="62" w:beforeLines="20" w:after="62" w:afterLines="20" w:line="360" w:lineRule="auto"/>
        <w:ind w:right="-4" w:rightChars="-2"/>
        <w:rPr>
          <w:color w:val="auto"/>
          <w:szCs w:val="28"/>
        </w:rPr>
      </w:pPr>
    </w:p>
    <w:p w14:paraId="5245F342">
      <w:pPr>
        <w:pStyle w:val="6"/>
        <w:widowControl/>
        <w:adjustRightInd w:val="0"/>
        <w:snapToGrid w:val="0"/>
        <w:spacing w:before="62" w:beforeLines="20" w:after="62" w:afterLines="20" w:line="360" w:lineRule="auto"/>
        <w:ind w:right="-4" w:rightChars="-2" w:firstLine="1680" w:firstLineChars="200"/>
        <w:rPr>
          <w:color w:val="auto"/>
          <w:sz w:val="84"/>
          <w:szCs w:val="84"/>
        </w:rPr>
      </w:pPr>
      <w:r>
        <w:rPr>
          <w:color w:val="auto"/>
          <w:sz w:val="84"/>
          <w:szCs w:val="84"/>
        </w:rPr>
        <w:t>投  标  文  件</w:t>
      </w:r>
    </w:p>
    <w:p w14:paraId="4FEDB47D">
      <w:pPr>
        <w:pStyle w:val="6"/>
        <w:widowControl/>
        <w:adjustRightInd w:val="0"/>
        <w:snapToGrid w:val="0"/>
        <w:spacing w:before="62" w:beforeLines="20" w:after="62" w:afterLines="20" w:line="360" w:lineRule="auto"/>
        <w:ind w:right="-4" w:rightChars="-2" w:firstLine="3300" w:firstLineChars="1500"/>
        <w:rPr>
          <w:color w:val="auto"/>
          <w:szCs w:val="28"/>
        </w:rPr>
      </w:pPr>
    </w:p>
    <w:p w14:paraId="77DFD0FD">
      <w:pPr>
        <w:pStyle w:val="6"/>
        <w:widowControl/>
        <w:adjustRightInd w:val="0"/>
        <w:snapToGrid w:val="0"/>
        <w:spacing w:before="62" w:beforeLines="20" w:after="62" w:afterLines="20" w:line="360" w:lineRule="auto"/>
        <w:ind w:right="-4" w:rightChars="-2" w:firstLine="3300" w:firstLineChars="1500"/>
        <w:rPr>
          <w:color w:val="auto"/>
          <w:szCs w:val="28"/>
        </w:rPr>
      </w:pPr>
      <w:r>
        <w:rPr>
          <w:color w:val="auto"/>
          <w:szCs w:val="28"/>
        </w:rPr>
        <w:t>项目编号：</w:t>
      </w:r>
    </w:p>
    <w:p w14:paraId="22BA38B3">
      <w:pPr>
        <w:pStyle w:val="6"/>
        <w:widowControl/>
        <w:adjustRightInd w:val="0"/>
        <w:snapToGrid w:val="0"/>
        <w:spacing w:before="62" w:beforeLines="20" w:after="62" w:afterLines="20" w:line="360" w:lineRule="auto"/>
        <w:ind w:right="-4" w:rightChars="-2"/>
        <w:rPr>
          <w:color w:val="auto"/>
        </w:rPr>
      </w:pPr>
    </w:p>
    <w:p w14:paraId="629E3E6B">
      <w:pPr>
        <w:pStyle w:val="6"/>
        <w:widowControl/>
        <w:adjustRightInd w:val="0"/>
        <w:snapToGrid w:val="0"/>
        <w:spacing w:before="62" w:beforeLines="20" w:after="62" w:afterLines="20" w:line="360" w:lineRule="auto"/>
        <w:ind w:right="-4" w:rightChars="-2"/>
        <w:rPr>
          <w:color w:val="auto"/>
        </w:rPr>
      </w:pPr>
    </w:p>
    <w:p w14:paraId="5DE40ADF">
      <w:pPr>
        <w:pStyle w:val="6"/>
        <w:widowControl/>
        <w:adjustRightInd w:val="0"/>
        <w:snapToGrid w:val="0"/>
        <w:spacing w:before="62" w:beforeLines="20" w:after="62" w:afterLines="20" w:line="360" w:lineRule="auto"/>
        <w:ind w:right="-4" w:rightChars="-2"/>
        <w:rPr>
          <w:color w:val="auto"/>
        </w:rPr>
      </w:pPr>
    </w:p>
    <w:p w14:paraId="0450839C">
      <w:pPr>
        <w:pStyle w:val="6"/>
        <w:widowControl/>
        <w:adjustRightInd w:val="0"/>
        <w:snapToGrid w:val="0"/>
        <w:spacing w:before="62" w:beforeLines="20" w:after="62" w:afterLines="20" w:line="360" w:lineRule="auto"/>
        <w:ind w:right="-4" w:rightChars="-2"/>
        <w:rPr>
          <w:color w:val="auto"/>
        </w:rPr>
      </w:pPr>
    </w:p>
    <w:p w14:paraId="2CE2D276">
      <w:pPr>
        <w:pStyle w:val="6"/>
        <w:widowControl/>
        <w:adjustRightInd w:val="0"/>
        <w:snapToGrid w:val="0"/>
        <w:spacing w:before="62" w:beforeLines="20" w:after="62" w:afterLines="20" w:line="360" w:lineRule="auto"/>
        <w:ind w:right="-4" w:rightChars="-2"/>
        <w:rPr>
          <w:color w:val="auto"/>
        </w:rPr>
      </w:pPr>
    </w:p>
    <w:p w14:paraId="321D7258">
      <w:pPr>
        <w:pStyle w:val="6"/>
        <w:widowControl/>
        <w:adjustRightInd w:val="0"/>
        <w:snapToGrid w:val="0"/>
        <w:spacing w:before="62" w:beforeLines="20" w:after="62" w:afterLines="20" w:line="360" w:lineRule="auto"/>
        <w:ind w:right="-4" w:rightChars="-2"/>
        <w:rPr>
          <w:color w:val="auto"/>
        </w:rPr>
      </w:pPr>
    </w:p>
    <w:p w14:paraId="70D3999D">
      <w:pPr>
        <w:pStyle w:val="7"/>
        <w:rPr>
          <w:color w:val="auto"/>
        </w:rPr>
      </w:pPr>
    </w:p>
    <w:p w14:paraId="00DD9954">
      <w:pPr>
        <w:pStyle w:val="6"/>
        <w:widowControl/>
        <w:adjustRightInd w:val="0"/>
        <w:snapToGrid w:val="0"/>
        <w:spacing w:before="62" w:beforeLines="20" w:after="62" w:afterLines="20" w:line="360" w:lineRule="auto"/>
        <w:ind w:right="-4" w:rightChars="-2"/>
        <w:rPr>
          <w:color w:val="auto"/>
        </w:rPr>
      </w:pPr>
    </w:p>
    <w:p w14:paraId="463B3E9D">
      <w:pPr>
        <w:pStyle w:val="11"/>
        <w:adjustRightInd w:val="0"/>
        <w:snapToGrid w:val="0"/>
        <w:spacing w:before="62" w:beforeLines="20" w:after="62" w:afterLines="20" w:line="360" w:lineRule="auto"/>
        <w:ind w:left="1239" w:leftChars="590" w:right="-4" w:rightChars="-2" w:firstLine="17" w:firstLineChars="6"/>
        <w:rPr>
          <w:rFonts w:ascii="宋体" w:hAnsi="宋体"/>
          <w:b/>
          <w:bCs/>
          <w:color w:val="auto"/>
          <w:sz w:val="28"/>
          <w:szCs w:val="28"/>
          <w:u w:val="single"/>
        </w:rPr>
      </w:pPr>
      <w:r>
        <w:rPr>
          <w:rFonts w:hint="eastAsia" w:ascii="宋体" w:hAnsi="宋体"/>
          <w:b/>
          <w:bCs/>
          <w:color w:val="auto"/>
          <w:sz w:val="28"/>
          <w:szCs w:val="28"/>
        </w:rPr>
        <w:t>项目名称：</w:t>
      </w:r>
      <w:r>
        <w:rPr>
          <w:rFonts w:hint="eastAsia" w:ascii="宋体" w:hAnsi="宋体"/>
          <w:b/>
          <w:bCs/>
          <w:color w:val="auto"/>
          <w:sz w:val="28"/>
          <w:szCs w:val="28"/>
          <w:u w:val="single"/>
        </w:rPr>
        <w:t xml:space="preserve">                                  </w:t>
      </w:r>
    </w:p>
    <w:p w14:paraId="7E013122">
      <w:pPr>
        <w:pStyle w:val="11"/>
        <w:adjustRightInd w:val="0"/>
        <w:snapToGrid w:val="0"/>
        <w:spacing w:before="62" w:beforeLines="20" w:after="62" w:afterLines="20" w:line="360" w:lineRule="auto"/>
        <w:ind w:left="1239" w:leftChars="590" w:right="-4" w:rightChars="-2" w:firstLine="17" w:firstLineChars="6"/>
        <w:rPr>
          <w:rFonts w:ascii="宋体" w:hAnsi="宋体"/>
          <w:b/>
          <w:bCs/>
          <w:color w:val="auto"/>
          <w:sz w:val="28"/>
          <w:szCs w:val="28"/>
        </w:rPr>
      </w:pPr>
      <w:r>
        <w:rPr>
          <w:rFonts w:hint="eastAsia" w:ascii="宋体" w:hAnsi="宋体"/>
          <w:b/>
          <w:bCs/>
          <w:color w:val="auto"/>
          <w:sz w:val="28"/>
          <w:szCs w:val="28"/>
        </w:rPr>
        <w:t>投标文件内容：</w:t>
      </w:r>
      <w:r>
        <w:rPr>
          <w:rFonts w:hint="eastAsia" w:ascii="宋体" w:hAnsi="宋体"/>
          <w:b/>
          <w:bCs/>
          <w:color w:val="auto"/>
          <w:sz w:val="28"/>
          <w:szCs w:val="28"/>
          <w:u w:val="single"/>
        </w:rPr>
        <w:t xml:space="preserve">       商务标</w:t>
      </w:r>
      <w:r>
        <w:rPr>
          <w:rFonts w:hint="eastAsia" w:ascii="宋体" w:hAnsi="宋体" w:eastAsia="宋体"/>
          <w:b/>
          <w:bCs/>
          <w:color w:val="auto"/>
          <w:sz w:val="28"/>
          <w:szCs w:val="28"/>
          <w:u w:val="single"/>
          <w:lang w:val="en-US" w:eastAsia="zh-CN"/>
        </w:rPr>
        <w:t>/技术标</w:t>
      </w:r>
      <w:r>
        <w:rPr>
          <w:rFonts w:hint="eastAsia" w:ascii="宋体" w:hAnsi="宋体"/>
          <w:b/>
          <w:bCs/>
          <w:color w:val="auto"/>
          <w:sz w:val="28"/>
          <w:szCs w:val="28"/>
          <w:u w:val="single"/>
        </w:rPr>
        <w:t xml:space="preserve">          </w:t>
      </w:r>
      <w:r>
        <w:rPr>
          <w:rFonts w:hint="eastAsia" w:ascii="宋体" w:hAnsi="宋体"/>
          <w:b/>
          <w:bCs/>
          <w:color w:val="auto"/>
          <w:sz w:val="28"/>
          <w:szCs w:val="28"/>
          <w:u w:val="single"/>
        </w:rPr>
        <w:tab/>
      </w:r>
      <w:r>
        <w:rPr>
          <w:rFonts w:hint="eastAsia" w:ascii="宋体" w:hAnsi="宋体"/>
          <w:b/>
          <w:bCs/>
          <w:color w:val="auto"/>
          <w:sz w:val="28"/>
          <w:szCs w:val="28"/>
          <w:u w:val="single"/>
        </w:rPr>
        <w:tab/>
      </w:r>
      <w:r>
        <w:rPr>
          <w:rFonts w:hint="eastAsia" w:ascii="宋体" w:hAnsi="宋体"/>
          <w:b/>
          <w:bCs/>
          <w:color w:val="auto"/>
          <w:sz w:val="28"/>
          <w:szCs w:val="28"/>
          <w:u w:val="single"/>
        </w:rPr>
        <w:t xml:space="preserve"> </w:t>
      </w:r>
    </w:p>
    <w:p w14:paraId="4C26BCF2">
      <w:pPr>
        <w:pStyle w:val="11"/>
        <w:adjustRightInd w:val="0"/>
        <w:snapToGrid w:val="0"/>
        <w:spacing w:before="62" w:beforeLines="20" w:after="62" w:afterLines="20" w:line="360" w:lineRule="auto"/>
        <w:ind w:left="1239" w:leftChars="590" w:right="-4" w:rightChars="-2" w:firstLine="17" w:firstLineChars="6"/>
        <w:rPr>
          <w:rFonts w:ascii="宋体" w:hAnsi="宋体"/>
          <w:b/>
          <w:bCs/>
          <w:color w:val="auto"/>
          <w:sz w:val="28"/>
          <w:szCs w:val="28"/>
          <w:u w:val="single"/>
        </w:rPr>
      </w:pPr>
      <w:r>
        <w:rPr>
          <w:rFonts w:hint="eastAsia" w:ascii="宋体" w:hAnsi="宋体" w:eastAsia="宋体"/>
          <w:b/>
          <w:bCs/>
          <w:color w:val="auto"/>
          <w:sz w:val="28"/>
          <w:szCs w:val="28"/>
        </w:rPr>
        <w:t>投标供应商</w:t>
      </w:r>
      <w:r>
        <w:rPr>
          <w:rFonts w:hint="eastAsia" w:ascii="宋体" w:hAnsi="宋体"/>
          <w:b/>
          <w:bCs/>
          <w:color w:val="auto"/>
          <w:sz w:val="28"/>
          <w:szCs w:val="28"/>
        </w:rPr>
        <w:t>：</w:t>
      </w:r>
      <w:r>
        <w:rPr>
          <w:rFonts w:hint="eastAsia" w:ascii="宋体" w:hAnsi="宋体"/>
          <w:b/>
          <w:bCs/>
          <w:color w:val="auto"/>
          <w:sz w:val="28"/>
          <w:szCs w:val="28"/>
          <w:u w:val="single"/>
        </w:rPr>
        <w:t xml:space="preserve">            （盖章）              </w:t>
      </w:r>
    </w:p>
    <w:p w14:paraId="1DC865DE">
      <w:pPr>
        <w:pStyle w:val="11"/>
        <w:adjustRightInd w:val="0"/>
        <w:snapToGrid w:val="0"/>
        <w:spacing w:before="62" w:beforeLines="20" w:after="62" w:afterLines="20" w:line="360" w:lineRule="auto"/>
        <w:ind w:left="1239" w:leftChars="590" w:right="-4" w:rightChars="-2" w:firstLine="17" w:firstLineChars="6"/>
        <w:rPr>
          <w:rFonts w:ascii="宋体" w:hAnsi="宋体"/>
          <w:b/>
          <w:bCs/>
          <w:color w:val="auto"/>
          <w:sz w:val="28"/>
          <w:szCs w:val="28"/>
          <w:u w:val="single"/>
        </w:rPr>
      </w:pPr>
      <w:r>
        <w:rPr>
          <w:rFonts w:hint="eastAsia" w:ascii="宋体" w:hAnsi="宋体"/>
          <w:b/>
          <w:bCs/>
          <w:color w:val="auto"/>
          <w:sz w:val="28"/>
          <w:szCs w:val="28"/>
        </w:rPr>
        <w:t>法定代表人</w:t>
      </w:r>
      <w:r>
        <w:rPr>
          <w:rFonts w:hint="eastAsia" w:ascii="宋体" w:hAnsi="宋体" w:eastAsia="宋体" w:cs="宋体"/>
          <w:b/>
          <w:color w:val="auto"/>
          <w:sz w:val="28"/>
          <w:szCs w:val="28"/>
        </w:rPr>
        <w:t>（单位负责人）</w:t>
      </w:r>
      <w:r>
        <w:rPr>
          <w:rFonts w:hint="eastAsia" w:ascii="宋体" w:hAnsi="宋体"/>
          <w:b/>
          <w:bCs/>
          <w:color w:val="auto"/>
          <w:sz w:val="28"/>
          <w:szCs w:val="28"/>
        </w:rPr>
        <w:t>或其委托代理人：</w:t>
      </w:r>
      <w:r>
        <w:rPr>
          <w:rFonts w:hint="eastAsia" w:ascii="宋体" w:hAnsi="宋体"/>
          <w:b/>
          <w:bCs/>
          <w:color w:val="auto"/>
          <w:sz w:val="28"/>
          <w:szCs w:val="28"/>
          <w:u w:val="single"/>
        </w:rPr>
        <w:t xml:space="preserve">   （签字或盖章） </w:t>
      </w:r>
    </w:p>
    <w:p w14:paraId="6522CF69">
      <w:pPr>
        <w:adjustRightInd w:val="0"/>
        <w:snapToGrid w:val="0"/>
        <w:spacing w:before="62" w:beforeLines="20" w:after="62" w:afterLines="20" w:line="360" w:lineRule="auto"/>
        <w:ind w:left="1239" w:leftChars="590" w:right="-4" w:rightChars="-2" w:firstLine="13" w:firstLineChars="6"/>
        <w:rPr>
          <w:rFonts w:ascii="宋体" w:hAnsi="宋体"/>
          <w:b/>
          <w:color w:val="auto"/>
          <w:szCs w:val="28"/>
        </w:rPr>
      </w:pPr>
      <w:r>
        <w:rPr>
          <w:rFonts w:hint="eastAsia" w:ascii="宋体" w:hAnsi="宋体"/>
          <w:b/>
          <w:color w:val="auto"/>
          <w:szCs w:val="28"/>
        </w:rPr>
        <w:t>日  期：</w:t>
      </w:r>
      <w:r>
        <w:rPr>
          <w:rFonts w:hint="eastAsia" w:ascii="宋体" w:hAnsi="宋体"/>
          <w:b/>
          <w:color w:val="auto"/>
          <w:szCs w:val="28"/>
          <w:u w:val="single"/>
        </w:rPr>
        <w:t xml:space="preserve">          </w:t>
      </w:r>
      <w:r>
        <w:rPr>
          <w:rFonts w:hint="eastAsia" w:ascii="宋体" w:hAnsi="宋体"/>
          <w:b/>
          <w:color w:val="auto"/>
          <w:szCs w:val="28"/>
        </w:rPr>
        <w:t xml:space="preserve"> 年</w:t>
      </w:r>
      <w:r>
        <w:rPr>
          <w:rFonts w:hint="eastAsia" w:ascii="宋体" w:hAnsi="宋体"/>
          <w:b/>
          <w:color w:val="auto"/>
          <w:szCs w:val="28"/>
          <w:u w:val="single"/>
        </w:rPr>
        <w:t xml:space="preserve">     </w:t>
      </w:r>
      <w:r>
        <w:rPr>
          <w:rFonts w:hint="eastAsia" w:ascii="宋体" w:hAnsi="宋体"/>
          <w:b/>
          <w:color w:val="auto"/>
          <w:szCs w:val="28"/>
        </w:rPr>
        <w:t xml:space="preserve"> 月</w:t>
      </w:r>
      <w:r>
        <w:rPr>
          <w:rFonts w:hint="eastAsia" w:ascii="宋体" w:hAnsi="宋体"/>
          <w:b/>
          <w:color w:val="auto"/>
          <w:szCs w:val="28"/>
          <w:u w:val="single"/>
        </w:rPr>
        <w:t xml:space="preserve">      </w:t>
      </w:r>
      <w:r>
        <w:rPr>
          <w:rFonts w:hint="eastAsia" w:ascii="宋体" w:hAnsi="宋体"/>
          <w:b/>
          <w:color w:val="auto"/>
          <w:szCs w:val="28"/>
        </w:rPr>
        <w:t>日</w:t>
      </w:r>
    </w:p>
    <w:p w14:paraId="768A30D1">
      <w:pPr>
        <w:pStyle w:val="2"/>
        <w:ind w:firstLine="442"/>
        <w:rPr>
          <w:rFonts w:ascii="宋体" w:hAnsi="宋体"/>
          <w:b/>
          <w:color w:val="auto"/>
          <w:szCs w:val="28"/>
        </w:rPr>
      </w:pPr>
    </w:p>
    <w:p w14:paraId="05CBD209">
      <w:pPr>
        <w:pStyle w:val="5"/>
        <w:ind w:right="-21" w:firstLine="540"/>
        <w:rPr>
          <w:color w:val="auto"/>
        </w:rPr>
      </w:pPr>
    </w:p>
    <w:p w14:paraId="08BBBF26">
      <w:pPr>
        <w:rPr>
          <w:color w:val="auto"/>
        </w:rPr>
      </w:pPr>
    </w:p>
    <w:p w14:paraId="39B12037">
      <w:pPr>
        <w:spacing w:line="440" w:lineRule="exact"/>
        <w:jc w:val="center"/>
        <w:rPr>
          <w:rFonts w:hint="eastAsia" w:ascii="宋体" w:hAnsi="宋体"/>
          <w:b/>
          <w:color w:val="auto"/>
          <w:sz w:val="28"/>
          <w:szCs w:val="28"/>
        </w:rPr>
      </w:pPr>
      <w:bookmarkStart w:id="1660" w:name="1、投标函"/>
      <w:bookmarkEnd w:id="1660"/>
    </w:p>
    <w:p w14:paraId="40F246D3">
      <w:pPr>
        <w:spacing w:line="440" w:lineRule="exact"/>
        <w:jc w:val="center"/>
        <w:rPr>
          <w:rFonts w:ascii="宋体" w:cs="宋体"/>
          <w:b/>
          <w:bCs/>
          <w:color w:val="auto"/>
          <w:sz w:val="28"/>
          <w:szCs w:val="28"/>
        </w:rPr>
      </w:pPr>
      <w:r>
        <w:rPr>
          <w:rFonts w:hint="eastAsia" w:ascii="宋体" w:hAnsi="宋体"/>
          <w:b/>
          <w:color w:val="auto"/>
          <w:sz w:val="28"/>
          <w:szCs w:val="28"/>
          <w:lang w:eastAsia="zh-CN"/>
        </w:rPr>
        <w:t>格式</w:t>
      </w:r>
      <w:r>
        <w:rPr>
          <w:rFonts w:hint="eastAsia" w:ascii="宋体" w:hAnsi="宋体"/>
          <w:b/>
          <w:color w:val="auto"/>
          <w:sz w:val="28"/>
          <w:szCs w:val="28"/>
          <w:lang w:val="en-US" w:eastAsia="zh-CN"/>
        </w:rPr>
        <w:t>1、</w:t>
      </w:r>
      <w:r>
        <w:rPr>
          <w:rFonts w:hint="eastAsia" w:ascii="宋体" w:hAnsi="宋体" w:cs="宋体"/>
          <w:b/>
          <w:bCs/>
          <w:color w:val="auto"/>
          <w:sz w:val="28"/>
          <w:szCs w:val="28"/>
        </w:rPr>
        <w:t>开标一览表</w:t>
      </w:r>
    </w:p>
    <w:p w14:paraId="2B4E8AB8">
      <w:pPr>
        <w:autoSpaceDE w:val="0"/>
        <w:autoSpaceDN w:val="0"/>
        <w:adjustRightInd w:val="0"/>
        <w:jc w:val="center"/>
        <w:outlineLvl w:val="1"/>
        <w:rPr>
          <w:rFonts w:hint="eastAsia" w:ascii="宋体" w:hAnsi="宋体"/>
          <w:b/>
          <w:bCs/>
          <w:color w:val="auto"/>
          <w:szCs w:val="21"/>
          <w:lang w:val="zh-CN"/>
        </w:rPr>
      </w:pPr>
      <w:r>
        <w:rPr>
          <w:rFonts w:hint="eastAsia" w:ascii="宋体" w:hAnsi="宋体"/>
          <w:b/>
          <w:bCs/>
          <w:color w:val="auto"/>
          <w:szCs w:val="21"/>
          <w:lang w:val="zh-CN"/>
        </w:rPr>
        <w:t xml:space="preserve"> </w:t>
      </w:r>
    </w:p>
    <w:p w14:paraId="1D3626F7">
      <w:pPr>
        <w:autoSpaceDE w:val="0"/>
        <w:autoSpaceDN w:val="0"/>
        <w:adjustRightInd w:val="0"/>
        <w:ind w:firstLine="240" w:firstLineChars="100"/>
        <w:outlineLvl w:val="1"/>
        <w:rPr>
          <w:rFonts w:hint="eastAsia" w:ascii="宋体" w:hAnsi="宋体"/>
          <w:bCs/>
          <w:color w:val="auto"/>
          <w:sz w:val="24"/>
          <w:szCs w:val="24"/>
          <w:lang w:val="zh-CN"/>
        </w:rPr>
      </w:pPr>
      <w:bookmarkStart w:id="1661" w:name="_Toc2605"/>
      <w:r>
        <w:rPr>
          <w:rFonts w:hint="eastAsia" w:ascii="宋体" w:hAnsi="宋体"/>
          <w:color w:val="auto"/>
          <w:sz w:val="24"/>
          <w:szCs w:val="24"/>
        </w:rPr>
        <w:t xml:space="preserve">项目编号 ：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 </w:t>
      </w:r>
      <w:r>
        <w:rPr>
          <w:rFonts w:hint="eastAsia" w:ascii="宋体" w:hAnsi="宋体"/>
          <w:bCs/>
          <w:color w:val="auto"/>
          <w:sz w:val="24"/>
          <w:szCs w:val="24"/>
          <w:lang w:val="zh-CN"/>
        </w:rPr>
        <w:t>货币单位：人民币元</w:t>
      </w:r>
      <w:bookmarkEnd w:id="1661"/>
    </w:p>
    <w:tbl>
      <w:tblPr>
        <w:tblStyle w:val="15"/>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7879"/>
      </w:tblGrid>
      <w:tr w14:paraId="6355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2128" w:type="dxa"/>
            <w:noWrap w:val="0"/>
            <w:vAlign w:val="center"/>
          </w:tcPr>
          <w:p w14:paraId="7434B3F3">
            <w:pPr>
              <w:autoSpaceDE w:val="0"/>
              <w:autoSpaceDN w:val="0"/>
              <w:adjustRightInd w:val="0"/>
              <w:jc w:val="center"/>
              <w:outlineLvl w:val="1"/>
              <w:rPr>
                <w:rFonts w:hint="eastAsia" w:ascii="宋体" w:hAnsi="宋体"/>
                <w:bCs/>
                <w:color w:val="auto"/>
                <w:sz w:val="24"/>
                <w:szCs w:val="24"/>
                <w:lang w:val="zh-CN"/>
              </w:rPr>
            </w:pPr>
            <w:bookmarkStart w:id="1662" w:name="_Toc7197"/>
            <w:r>
              <w:rPr>
                <w:rFonts w:hint="eastAsia" w:ascii="宋体" w:hAnsi="宋体"/>
                <w:bCs/>
                <w:color w:val="auto"/>
                <w:sz w:val="24"/>
                <w:szCs w:val="24"/>
                <w:lang w:val="zh-CN" w:eastAsia="zh-CN"/>
              </w:rPr>
              <w:t>项目</w:t>
            </w:r>
            <w:r>
              <w:rPr>
                <w:rFonts w:hint="eastAsia" w:ascii="宋体" w:hAnsi="宋体"/>
                <w:bCs/>
                <w:color w:val="auto"/>
                <w:sz w:val="24"/>
                <w:szCs w:val="24"/>
                <w:lang w:val="zh-CN"/>
              </w:rPr>
              <w:t>名称</w:t>
            </w:r>
            <w:bookmarkEnd w:id="1662"/>
          </w:p>
        </w:tc>
        <w:tc>
          <w:tcPr>
            <w:tcW w:w="7879" w:type="dxa"/>
            <w:noWrap w:val="0"/>
            <w:vAlign w:val="center"/>
          </w:tcPr>
          <w:p w14:paraId="596BFD9C">
            <w:pPr>
              <w:autoSpaceDE w:val="0"/>
              <w:autoSpaceDN w:val="0"/>
              <w:adjustRightInd w:val="0"/>
              <w:jc w:val="center"/>
              <w:outlineLvl w:val="1"/>
              <w:rPr>
                <w:rFonts w:hint="eastAsia" w:ascii="宋体" w:hAnsi="宋体"/>
                <w:bCs/>
                <w:color w:val="auto"/>
                <w:sz w:val="24"/>
                <w:szCs w:val="24"/>
                <w:lang w:val="zh-CN"/>
              </w:rPr>
            </w:pPr>
          </w:p>
        </w:tc>
      </w:tr>
      <w:tr w14:paraId="55A1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2128" w:type="dxa"/>
            <w:noWrap w:val="0"/>
            <w:vAlign w:val="center"/>
          </w:tcPr>
          <w:p w14:paraId="75A39263">
            <w:pPr>
              <w:autoSpaceDE w:val="0"/>
              <w:autoSpaceDN w:val="0"/>
              <w:adjustRightInd w:val="0"/>
              <w:jc w:val="center"/>
              <w:outlineLvl w:val="1"/>
              <w:rPr>
                <w:rFonts w:hint="eastAsia" w:ascii="宋体" w:hAnsi="宋体"/>
                <w:bCs/>
                <w:color w:val="auto"/>
                <w:sz w:val="24"/>
                <w:szCs w:val="24"/>
                <w:lang w:val="zh-CN"/>
              </w:rPr>
            </w:pPr>
            <w:bookmarkStart w:id="1663" w:name="_Toc10207"/>
            <w:r>
              <w:rPr>
                <w:rFonts w:hint="eastAsia" w:ascii="宋体" w:hAnsi="宋体"/>
                <w:bCs/>
                <w:color w:val="auto"/>
                <w:sz w:val="24"/>
                <w:szCs w:val="24"/>
                <w:lang w:val="zh-CN"/>
              </w:rPr>
              <w:t>总报价</w:t>
            </w:r>
            <w:bookmarkEnd w:id="1663"/>
          </w:p>
        </w:tc>
        <w:tc>
          <w:tcPr>
            <w:tcW w:w="7879" w:type="dxa"/>
            <w:noWrap w:val="0"/>
            <w:vAlign w:val="center"/>
          </w:tcPr>
          <w:p w14:paraId="5242B545">
            <w:pPr>
              <w:autoSpaceDE w:val="0"/>
              <w:autoSpaceDN w:val="0"/>
              <w:adjustRightInd w:val="0"/>
              <w:outlineLvl w:val="1"/>
              <w:rPr>
                <w:rFonts w:hint="eastAsia" w:ascii="宋体" w:hAnsi="宋体"/>
                <w:bCs/>
                <w:color w:val="auto"/>
                <w:sz w:val="24"/>
                <w:szCs w:val="24"/>
                <w:lang w:val="zh-CN"/>
              </w:rPr>
            </w:pPr>
            <w:bookmarkStart w:id="1664" w:name="_Toc30101"/>
            <w:r>
              <w:rPr>
                <w:rFonts w:hint="eastAsia" w:ascii="宋体" w:hAnsi="宋体"/>
                <w:bCs/>
                <w:color w:val="auto"/>
                <w:sz w:val="24"/>
                <w:szCs w:val="24"/>
                <w:lang w:val="zh-CN"/>
              </w:rPr>
              <w:t>人民币（小写）：</w:t>
            </w:r>
            <w:bookmarkEnd w:id="1664"/>
            <w:r>
              <w:rPr>
                <w:rFonts w:hint="eastAsia" w:ascii="宋体" w:hAnsi="宋体"/>
                <w:bCs/>
                <w:color w:val="auto"/>
                <w:sz w:val="24"/>
                <w:szCs w:val="24"/>
                <w:u w:val="single"/>
                <w:lang w:val="zh-CN"/>
              </w:rPr>
              <w:t xml:space="preserve"> </w:t>
            </w:r>
            <w:r>
              <w:rPr>
                <w:rFonts w:hint="eastAsia" w:ascii="宋体" w:hAnsi="宋体"/>
                <w:bCs/>
                <w:color w:val="auto"/>
                <w:sz w:val="24"/>
                <w:szCs w:val="24"/>
                <w:u w:val="single"/>
                <w:lang w:val="en-US" w:eastAsia="zh-CN"/>
              </w:rPr>
              <w:t xml:space="preserve">          </w:t>
            </w:r>
            <w:r>
              <w:rPr>
                <w:rFonts w:hint="eastAsia" w:ascii="宋体" w:hAnsi="宋体"/>
                <w:bCs/>
                <w:color w:val="auto"/>
                <w:sz w:val="24"/>
                <w:szCs w:val="24"/>
                <w:u w:val="single"/>
                <w:lang w:val="zh-CN"/>
              </w:rPr>
              <w:t xml:space="preserve">            </w:t>
            </w:r>
          </w:p>
          <w:p w14:paraId="73E76E0F">
            <w:pPr>
              <w:autoSpaceDE w:val="0"/>
              <w:autoSpaceDN w:val="0"/>
              <w:adjustRightInd w:val="0"/>
              <w:ind w:firstLine="720" w:firstLineChars="300"/>
              <w:outlineLvl w:val="1"/>
              <w:rPr>
                <w:rFonts w:hint="eastAsia" w:ascii="宋体" w:hAnsi="宋体"/>
                <w:bCs/>
                <w:color w:val="auto"/>
                <w:sz w:val="24"/>
                <w:szCs w:val="24"/>
                <w:lang w:val="zh-CN"/>
              </w:rPr>
            </w:pPr>
            <w:bookmarkStart w:id="1665" w:name="_Toc22642"/>
            <w:r>
              <w:rPr>
                <w:rFonts w:hint="eastAsia" w:ascii="宋体" w:hAnsi="宋体"/>
                <w:bCs/>
                <w:color w:val="auto"/>
                <w:sz w:val="24"/>
                <w:szCs w:val="24"/>
                <w:lang w:val="zh-CN"/>
              </w:rPr>
              <w:t>（大写）：</w:t>
            </w:r>
            <w:bookmarkEnd w:id="1665"/>
            <w:r>
              <w:rPr>
                <w:rFonts w:hint="eastAsia" w:ascii="宋体" w:hAnsi="宋体"/>
                <w:bCs/>
                <w:color w:val="auto"/>
                <w:sz w:val="24"/>
                <w:szCs w:val="24"/>
                <w:u w:val="single"/>
                <w:lang w:val="zh-CN"/>
              </w:rPr>
              <w:t xml:space="preserve">   </w:t>
            </w:r>
            <w:r>
              <w:rPr>
                <w:rFonts w:hint="eastAsia" w:ascii="宋体" w:hAnsi="宋体"/>
                <w:bCs/>
                <w:color w:val="auto"/>
                <w:sz w:val="24"/>
                <w:szCs w:val="24"/>
                <w:u w:val="single"/>
              </w:rPr>
              <w:t xml:space="preserve">     </w:t>
            </w:r>
            <w:r>
              <w:rPr>
                <w:rFonts w:hint="eastAsia" w:ascii="宋体" w:hAnsi="宋体"/>
                <w:bCs/>
                <w:color w:val="auto"/>
                <w:sz w:val="24"/>
                <w:szCs w:val="24"/>
                <w:u w:val="single"/>
                <w:lang w:val="zh-CN"/>
              </w:rPr>
              <w:t xml:space="preserve">               </w:t>
            </w:r>
          </w:p>
        </w:tc>
      </w:tr>
      <w:tr w14:paraId="7CF9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128" w:type="dxa"/>
            <w:noWrap w:val="0"/>
            <w:vAlign w:val="center"/>
          </w:tcPr>
          <w:p w14:paraId="397BB1D5">
            <w:pPr>
              <w:autoSpaceDE w:val="0"/>
              <w:autoSpaceDN w:val="0"/>
              <w:adjustRightInd w:val="0"/>
              <w:jc w:val="center"/>
              <w:outlineLvl w:val="1"/>
              <w:rPr>
                <w:rFonts w:hint="eastAsia" w:ascii="宋体" w:hAnsi="宋体"/>
                <w:bCs/>
                <w:color w:val="auto"/>
                <w:sz w:val="24"/>
                <w:szCs w:val="24"/>
                <w:lang w:val="zh-CN"/>
              </w:rPr>
            </w:pPr>
            <w:bookmarkStart w:id="1666" w:name="_Toc12046"/>
            <w:r>
              <w:rPr>
                <w:rFonts w:hint="eastAsia" w:ascii="宋体" w:hAnsi="宋体"/>
                <w:bCs/>
                <w:color w:val="auto"/>
                <w:sz w:val="24"/>
                <w:szCs w:val="24"/>
                <w:lang w:val="zh-CN"/>
              </w:rPr>
              <w:t>投标有效期</w:t>
            </w:r>
            <w:bookmarkEnd w:id="1666"/>
          </w:p>
        </w:tc>
        <w:tc>
          <w:tcPr>
            <w:tcW w:w="7879" w:type="dxa"/>
            <w:noWrap w:val="0"/>
            <w:vAlign w:val="center"/>
          </w:tcPr>
          <w:p w14:paraId="57FFEC8E">
            <w:pPr>
              <w:autoSpaceDE w:val="0"/>
              <w:autoSpaceDN w:val="0"/>
              <w:adjustRightInd w:val="0"/>
              <w:outlineLvl w:val="1"/>
              <w:rPr>
                <w:rFonts w:hint="eastAsia" w:ascii="宋体" w:hAnsi="宋体"/>
                <w:bCs/>
                <w:color w:val="auto"/>
                <w:sz w:val="24"/>
                <w:szCs w:val="24"/>
                <w:u w:val="single"/>
                <w:lang w:val="zh-CN"/>
              </w:rPr>
            </w:pPr>
            <w:r>
              <w:rPr>
                <w:rFonts w:hint="eastAsia" w:ascii="宋体" w:hAnsi="宋体"/>
                <w:bCs/>
                <w:color w:val="auto"/>
                <w:sz w:val="24"/>
                <w:szCs w:val="24"/>
                <w:u w:val="single"/>
                <w:lang w:val="zh-CN"/>
              </w:rPr>
              <w:t xml:space="preserve">                   </w:t>
            </w:r>
            <w:bookmarkStart w:id="1667" w:name="_Toc17426"/>
            <w:r>
              <w:rPr>
                <w:rFonts w:hint="eastAsia" w:ascii="宋体" w:hAnsi="宋体"/>
                <w:bCs/>
                <w:color w:val="auto"/>
                <w:sz w:val="24"/>
                <w:szCs w:val="24"/>
                <w:u w:val="single"/>
                <w:lang w:val="zh-CN"/>
              </w:rPr>
              <w:t>天</w:t>
            </w:r>
            <w:bookmarkEnd w:id="1667"/>
          </w:p>
        </w:tc>
      </w:tr>
      <w:tr w14:paraId="3F07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128" w:type="dxa"/>
            <w:noWrap w:val="0"/>
            <w:vAlign w:val="center"/>
          </w:tcPr>
          <w:p w14:paraId="03EDF10D">
            <w:pPr>
              <w:autoSpaceDE w:val="0"/>
              <w:autoSpaceDN w:val="0"/>
              <w:adjustRightInd w:val="0"/>
              <w:jc w:val="center"/>
              <w:outlineLvl w:val="1"/>
              <w:rPr>
                <w:rFonts w:hint="eastAsia" w:ascii="宋体" w:hAnsi="宋体"/>
                <w:bCs/>
                <w:color w:val="auto"/>
                <w:sz w:val="24"/>
                <w:szCs w:val="24"/>
                <w:lang w:val="zh-CN"/>
              </w:rPr>
            </w:pPr>
            <w:bookmarkStart w:id="1668" w:name="_Toc14126"/>
            <w:r>
              <w:rPr>
                <w:rFonts w:hint="eastAsia" w:ascii="宋体" w:hAnsi="宋体"/>
                <w:bCs/>
                <w:color w:val="auto"/>
                <w:sz w:val="24"/>
                <w:szCs w:val="24"/>
                <w:lang w:val="zh-CN"/>
              </w:rPr>
              <w:t>质量要求</w:t>
            </w:r>
            <w:bookmarkEnd w:id="1668"/>
          </w:p>
        </w:tc>
        <w:tc>
          <w:tcPr>
            <w:tcW w:w="7879" w:type="dxa"/>
            <w:noWrap w:val="0"/>
            <w:vAlign w:val="center"/>
          </w:tcPr>
          <w:p w14:paraId="026A05EA">
            <w:pPr>
              <w:autoSpaceDE w:val="0"/>
              <w:autoSpaceDN w:val="0"/>
              <w:adjustRightInd w:val="0"/>
              <w:ind w:firstLine="1200" w:firstLineChars="500"/>
              <w:outlineLvl w:val="1"/>
              <w:rPr>
                <w:rFonts w:hint="eastAsia" w:ascii="宋体" w:hAnsi="宋体"/>
                <w:bCs/>
                <w:color w:val="auto"/>
                <w:sz w:val="24"/>
                <w:szCs w:val="24"/>
                <w:lang w:val="zh-CN"/>
              </w:rPr>
            </w:pPr>
          </w:p>
        </w:tc>
      </w:tr>
      <w:tr w14:paraId="6282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128" w:type="dxa"/>
            <w:noWrap w:val="0"/>
            <w:vAlign w:val="center"/>
          </w:tcPr>
          <w:p w14:paraId="0EC3E69A">
            <w:pPr>
              <w:autoSpaceDE w:val="0"/>
              <w:autoSpaceDN w:val="0"/>
              <w:adjustRightInd w:val="0"/>
              <w:jc w:val="center"/>
              <w:outlineLvl w:val="1"/>
              <w:rPr>
                <w:rFonts w:hint="eastAsia" w:ascii="宋体" w:hAnsi="宋体"/>
                <w:bCs/>
                <w:color w:val="auto"/>
                <w:sz w:val="24"/>
                <w:szCs w:val="24"/>
                <w:lang w:val="zh-CN"/>
              </w:rPr>
            </w:pPr>
            <w:bookmarkStart w:id="1669" w:name="_Toc4430"/>
            <w:r>
              <w:rPr>
                <w:rFonts w:hint="eastAsia" w:ascii="宋体" w:hAnsi="宋体"/>
                <w:bCs/>
                <w:color w:val="auto"/>
                <w:sz w:val="24"/>
                <w:szCs w:val="24"/>
                <w:lang w:val="zh-CN"/>
              </w:rPr>
              <w:t>服务期</w:t>
            </w:r>
            <w:bookmarkEnd w:id="1669"/>
          </w:p>
        </w:tc>
        <w:tc>
          <w:tcPr>
            <w:tcW w:w="7879" w:type="dxa"/>
            <w:noWrap w:val="0"/>
            <w:vAlign w:val="center"/>
          </w:tcPr>
          <w:p w14:paraId="01DE0DC5">
            <w:pPr>
              <w:autoSpaceDE w:val="0"/>
              <w:autoSpaceDN w:val="0"/>
              <w:adjustRightInd w:val="0"/>
              <w:ind w:firstLine="1440" w:firstLineChars="600"/>
              <w:outlineLvl w:val="1"/>
              <w:rPr>
                <w:rFonts w:hint="eastAsia" w:ascii="宋体" w:hAnsi="宋体"/>
                <w:bCs/>
                <w:color w:val="auto"/>
                <w:sz w:val="24"/>
                <w:szCs w:val="24"/>
                <w:lang w:val="zh-CN"/>
              </w:rPr>
            </w:pPr>
            <w:bookmarkStart w:id="1670" w:name="_Toc19143"/>
            <w:r>
              <w:rPr>
                <w:rFonts w:hint="eastAsia" w:ascii="宋体" w:hAnsi="宋体"/>
                <w:bCs/>
                <w:color w:val="auto"/>
                <w:sz w:val="24"/>
                <w:szCs w:val="24"/>
                <w:lang w:val="zh-CN"/>
              </w:rPr>
              <w:t>日历天</w:t>
            </w:r>
            <w:bookmarkEnd w:id="1670"/>
          </w:p>
        </w:tc>
      </w:tr>
      <w:tr w14:paraId="1A5C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2128" w:type="dxa"/>
            <w:noWrap w:val="0"/>
            <w:vAlign w:val="center"/>
          </w:tcPr>
          <w:p w14:paraId="1B32F065">
            <w:pPr>
              <w:autoSpaceDE w:val="0"/>
              <w:autoSpaceDN w:val="0"/>
              <w:adjustRightInd w:val="0"/>
              <w:jc w:val="center"/>
              <w:outlineLvl w:val="1"/>
              <w:rPr>
                <w:rFonts w:hint="eastAsia" w:ascii="宋体" w:hAnsi="宋体"/>
                <w:bCs/>
                <w:color w:val="auto"/>
                <w:sz w:val="24"/>
                <w:szCs w:val="24"/>
                <w:lang w:val="zh-CN"/>
              </w:rPr>
            </w:pPr>
            <w:bookmarkStart w:id="1671" w:name="_Toc24644"/>
            <w:r>
              <w:rPr>
                <w:rFonts w:hint="eastAsia" w:ascii="宋体" w:hAnsi="宋体"/>
                <w:bCs/>
                <w:color w:val="auto"/>
                <w:sz w:val="24"/>
                <w:szCs w:val="24"/>
                <w:lang w:val="zh-CN"/>
              </w:rPr>
              <w:t>其他</w:t>
            </w:r>
            <w:bookmarkEnd w:id="1671"/>
          </w:p>
        </w:tc>
        <w:tc>
          <w:tcPr>
            <w:tcW w:w="7879" w:type="dxa"/>
            <w:noWrap w:val="0"/>
            <w:vAlign w:val="center"/>
          </w:tcPr>
          <w:p w14:paraId="5F82F81F">
            <w:pPr>
              <w:autoSpaceDE w:val="0"/>
              <w:autoSpaceDN w:val="0"/>
              <w:adjustRightInd w:val="0"/>
              <w:jc w:val="center"/>
              <w:outlineLvl w:val="1"/>
              <w:rPr>
                <w:rFonts w:hint="eastAsia" w:ascii="宋体" w:hAnsi="宋体"/>
                <w:bCs/>
                <w:color w:val="auto"/>
                <w:sz w:val="24"/>
                <w:szCs w:val="24"/>
                <w:lang w:val="zh-CN"/>
              </w:rPr>
            </w:pPr>
          </w:p>
        </w:tc>
      </w:tr>
    </w:tbl>
    <w:p w14:paraId="0142C886">
      <w:pPr>
        <w:pStyle w:val="6"/>
        <w:spacing w:line="480" w:lineRule="auto"/>
        <w:ind w:firstLine="240" w:firstLineChars="100"/>
        <w:rPr>
          <w:rFonts w:hint="eastAsia" w:ascii="宋体" w:hAnsi="宋体" w:eastAsia="宋体" w:cs="宋体"/>
          <w:color w:val="auto"/>
          <w:sz w:val="24"/>
          <w:szCs w:val="24"/>
          <w:lang w:val="zh-CN"/>
        </w:rPr>
      </w:pPr>
    </w:p>
    <w:p w14:paraId="29510DD4">
      <w:pPr>
        <w:pStyle w:val="6"/>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lang w:val="zh-CN"/>
        </w:rPr>
        <w:t>注：投标</w:t>
      </w:r>
      <w:r>
        <w:rPr>
          <w:rFonts w:hint="eastAsia" w:ascii="宋体" w:hAnsi="宋体" w:eastAsia="宋体" w:cs="宋体"/>
          <w:color w:val="auto"/>
          <w:sz w:val="24"/>
          <w:szCs w:val="24"/>
        </w:rPr>
        <w:t>报价是完成本项目可能发生的全部成本等及其他一切相关费用)</w:t>
      </w:r>
      <w:r>
        <w:rPr>
          <w:rFonts w:hint="eastAsia" w:ascii="宋体" w:hAnsi="宋体" w:eastAsia="宋体" w:cs="宋体"/>
          <w:color w:val="auto"/>
          <w:sz w:val="24"/>
          <w:szCs w:val="24"/>
          <w:lang w:eastAsia="zh-CN"/>
        </w:rPr>
        <w:t>。</w:t>
      </w:r>
    </w:p>
    <w:p w14:paraId="61F38589">
      <w:pPr>
        <w:autoSpaceDE w:val="0"/>
        <w:autoSpaceDN w:val="0"/>
        <w:adjustRightInd w:val="0"/>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供应商：（全称并加盖公章）：</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4B5B3A22">
      <w:pPr>
        <w:spacing w:line="480" w:lineRule="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eastAsia="zh-CN"/>
        </w:rPr>
        <w:t>法定代表人</w:t>
      </w:r>
      <w:r>
        <w:rPr>
          <w:rFonts w:hint="eastAsia" w:ascii="宋体" w:hAnsi="宋体" w:eastAsia="宋体" w:cs="宋体"/>
          <w:b w:val="0"/>
          <w:bCs w:val="0"/>
          <w:color w:val="auto"/>
          <w:kern w:val="0"/>
          <w:sz w:val="24"/>
          <w:szCs w:val="24"/>
        </w:rPr>
        <w:t>（单位负责人）</w:t>
      </w:r>
      <w:r>
        <w:rPr>
          <w:rFonts w:hint="eastAsia" w:ascii="宋体" w:hAnsi="宋体" w:eastAsia="宋体" w:cs="宋体"/>
          <w:color w:val="auto"/>
          <w:sz w:val="24"/>
          <w:szCs w:val="24"/>
        </w:rPr>
        <w:t>或委托代理人（签字或盖章）：</w:t>
      </w:r>
    </w:p>
    <w:p w14:paraId="68CC3F44">
      <w:pPr>
        <w:autoSpaceDE w:val="0"/>
        <w:autoSpaceDN w:val="0"/>
        <w:adjustRightInd w:val="0"/>
        <w:spacing w:line="48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年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月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日</w:t>
      </w:r>
    </w:p>
    <w:p w14:paraId="1192A486">
      <w:pPr>
        <w:pStyle w:val="26"/>
        <w:rPr>
          <w:color w:val="auto"/>
        </w:rPr>
      </w:pPr>
      <w:r>
        <w:rPr>
          <w:rFonts w:hint="eastAsia"/>
          <w:color w:val="auto"/>
        </w:rPr>
        <w:t>窗体顶端</w:t>
      </w:r>
    </w:p>
    <w:p w14:paraId="514D1BE4">
      <w:pPr>
        <w:spacing w:line="440" w:lineRule="exact"/>
        <w:ind w:firstLine="241" w:firstLineChars="100"/>
        <w:rPr>
          <w:rFonts w:ascii="宋体" w:hAnsi="宋体"/>
          <w:b/>
          <w:bCs/>
          <w:color w:val="auto"/>
          <w:sz w:val="24"/>
          <w:szCs w:val="24"/>
        </w:rPr>
      </w:pPr>
      <w:r>
        <w:rPr>
          <w:rFonts w:ascii="宋体" w:hAnsi="宋体"/>
          <w:b/>
          <w:bCs/>
          <w:color w:val="auto"/>
          <w:sz w:val="24"/>
          <w:szCs w:val="24"/>
        </w:rPr>
        <w:t xml:space="preserve">                            </w:t>
      </w:r>
    </w:p>
    <w:p w14:paraId="690FA323">
      <w:pPr>
        <w:pStyle w:val="2"/>
        <w:rPr>
          <w:color w:val="auto"/>
        </w:rPr>
      </w:pPr>
    </w:p>
    <w:p w14:paraId="76B94F17">
      <w:pPr>
        <w:pStyle w:val="5"/>
        <w:rPr>
          <w:color w:val="auto"/>
        </w:rPr>
      </w:pPr>
    </w:p>
    <w:p w14:paraId="3970D233">
      <w:pPr>
        <w:rPr>
          <w:color w:val="auto"/>
        </w:rPr>
      </w:pPr>
    </w:p>
    <w:p w14:paraId="7D1C3281">
      <w:pPr>
        <w:pStyle w:val="6"/>
        <w:rPr>
          <w:color w:val="auto"/>
        </w:rPr>
      </w:pPr>
    </w:p>
    <w:p w14:paraId="26D5B54C">
      <w:pPr>
        <w:pStyle w:val="7"/>
        <w:rPr>
          <w:color w:val="auto"/>
        </w:rPr>
      </w:pPr>
    </w:p>
    <w:p w14:paraId="2693B568">
      <w:pPr>
        <w:pStyle w:val="7"/>
        <w:rPr>
          <w:color w:val="auto"/>
        </w:rPr>
      </w:pPr>
    </w:p>
    <w:p w14:paraId="20D6C63D">
      <w:pPr>
        <w:rPr>
          <w:color w:val="auto"/>
        </w:rPr>
      </w:pPr>
    </w:p>
    <w:p w14:paraId="09AF040F">
      <w:pPr>
        <w:spacing w:line="440" w:lineRule="exact"/>
        <w:ind w:firstLine="4216" w:firstLineChars="1500"/>
        <w:rPr>
          <w:rFonts w:hint="eastAsia" w:ascii="宋体" w:hAnsi="宋体"/>
          <w:b/>
          <w:bCs/>
          <w:color w:val="auto"/>
          <w:sz w:val="28"/>
          <w:szCs w:val="28"/>
        </w:rPr>
      </w:pPr>
      <w:r>
        <w:rPr>
          <w:rFonts w:hint="eastAsia" w:ascii="宋体" w:hAnsi="宋体"/>
          <w:b/>
          <w:color w:val="auto"/>
          <w:sz w:val="28"/>
          <w:szCs w:val="28"/>
        </w:rPr>
        <w:t>格式</w:t>
      </w:r>
      <w:r>
        <w:rPr>
          <w:rFonts w:hint="eastAsia" w:ascii="宋体" w:hAnsi="宋体"/>
          <w:b/>
          <w:color w:val="auto"/>
          <w:sz w:val="28"/>
          <w:szCs w:val="28"/>
          <w:lang w:val="en-US" w:eastAsia="zh-CN"/>
        </w:rPr>
        <w:t>2</w:t>
      </w:r>
      <w:r>
        <w:rPr>
          <w:rFonts w:hint="eastAsia" w:ascii="宋体" w:hAnsi="宋体"/>
          <w:b/>
          <w:color w:val="auto"/>
          <w:sz w:val="28"/>
          <w:szCs w:val="28"/>
        </w:rPr>
        <w:t>、投标函</w:t>
      </w:r>
    </w:p>
    <w:p w14:paraId="011B1689">
      <w:pPr>
        <w:spacing w:line="440" w:lineRule="exact"/>
        <w:jc w:val="left"/>
        <w:rPr>
          <w:rFonts w:hint="eastAsia" w:ascii="宋体" w:hAnsi="宋体"/>
          <w:b/>
          <w:bCs/>
          <w:color w:val="auto"/>
          <w:sz w:val="24"/>
          <w:szCs w:val="24"/>
        </w:rPr>
      </w:pPr>
    </w:p>
    <w:p w14:paraId="6A2EBF4E">
      <w:pPr>
        <w:spacing w:line="440" w:lineRule="exact"/>
        <w:rPr>
          <w:rFonts w:hint="eastAsia" w:ascii="宋体" w:hAnsi="宋体" w:eastAsiaTheme="minorEastAsia"/>
          <w:b/>
          <w:color w:val="auto"/>
          <w:sz w:val="24"/>
          <w:szCs w:val="24"/>
          <w:lang w:eastAsia="zh-CN"/>
        </w:rPr>
      </w:pPr>
      <w:r>
        <w:rPr>
          <w:rFonts w:hint="eastAsia" w:ascii="宋体" w:hAnsi="宋体"/>
          <w:b/>
          <w:bCs/>
          <w:color w:val="auto"/>
          <w:sz w:val="24"/>
          <w:szCs w:val="24"/>
        </w:rPr>
        <w:t>致：</w:t>
      </w:r>
      <w:r>
        <w:rPr>
          <w:rFonts w:hint="eastAsia" w:ascii="宋体" w:hAnsi="宋体" w:cs="Times New Roman"/>
          <w:b/>
          <w:bCs w:val="0"/>
          <w:color w:val="auto"/>
          <w:sz w:val="24"/>
          <w:szCs w:val="24"/>
          <w:lang w:eastAsia="zh-CN"/>
        </w:rPr>
        <w:t>淮南市</w:t>
      </w:r>
      <w:r>
        <w:rPr>
          <w:rFonts w:hint="eastAsia" w:ascii="宋体" w:hAnsi="宋体" w:cs="Times New Roman"/>
          <w:b/>
          <w:bCs w:val="0"/>
          <w:color w:val="auto"/>
          <w:sz w:val="24"/>
          <w:szCs w:val="24"/>
          <w:lang w:val="en-US" w:eastAsia="zh-CN"/>
        </w:rPr>
        <w:t>应急管理</w:t>
      </w:r>
      <w:r>
        <w:rPr>
          <w:rFonts w:hint="eastAsia" w:ascii="宋体" w:hAnsi="宋体" w:cs="Times New Roman"/>
          <w:b/>
          <w:bCs w:val="0"/>
          <w:color w:val="auto"/>
          <w:sz w:val="24"/>
          <w:szCs w:val="24"/>
          <w:lang w:eastAsia="zh-CN"/>
        </w:rPr>
        <w:t>局</w:t>
      </w:r>
    </w:p>
    <w:p w14:paraId="50CE4BB0">
      <w:pPr>
        <w:spacing w:line="440" w:lineRule="exact"/>
        <w:jc w:val="left"/>
        <w:rPr>
          <w:rFonts w:hint="eastAsia" w:ascii="宋体" w:hAnsi="宋体"/>
          <w:color w:val="auto"/>
          <w:sz w:val="24"/>
          <w:szCs w:val="24"/>
        </w:rPr>
      </w:pPr>
      <w:r>
        <w:rPr>
          <w:rFonts w:hint="eastAsia" w:ascii="宋体" w:hAnsi="宋体"/>
          <w:b/>
          <w:bCs/>
          <w:color w:val="auto"/>
          <w:sz w:val="24"/>
          <w:szCs w:val="24"/>
        </w:rPr>
        <w:t xml:space="preserve"> </w:t>
      </w:r>
      <w:r>
        <w:rPr>
          <w:rFonts w:hint="eastAsia" w:ascii="宋体" w:hAnsi="宋体"/>
          <w:b/>
          <w:bCs/>
          <w:color w:val="auto"/>
          <w:sz w:val="24"/>
          <w:szCs w:val="24"/>
          <w:lang w:val="en-US" w:eastAsia="zh-CN"/>
        </w:rPr>
        <w:t xml:space="preserve">    </w:t>
      </w:r>
      <w:r>
        <w:rPr>
          <w:rFonts w:hint="eastAsia" w:ascii="宋体" w:hAnsi="宋体"/>
          <w:color w:val="auto"/>
          <w:sz w:val="24"/>
          <w:szCs w:val="24"/>
        </w:rPr>
        <w:t>1、根据贵单位发布的</w:t>
      </w:r>
      <w:r>
        <w:rPr>
          <w:rFonts w:hint="eastAsia" w:ascii="宋体" w:hAnsi="宋体"/>
          <w:color w:val="auto"/>
          <w:sz w:val="24"/>
          <w:szCs w:val="24"/>
          <w:lang w:eastAsia="zh-CN"/>
        </w:rPr>
        <w:t>磋商</w:t>
      </w:r>
      <w:r>
        <w:rPr>
          <w:rFonts w:hint="eastAsia" w:ascii="宋体" w:hAnsi="宋体"/>
          <w:color w:val="auto"/>
          <w:sz w:val="24"/>
          <w:szCs w:val="24"/>
        </w:rPr>
        <w:t>公告和招标文件，我们决定参加你们组织的“</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”项目的招标活动。</w:t>
      </w:r>
    </w:p>
    <w:p w14:paraId="4A4640AE">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宋体" w:hAnsi="宋体"/>
          <w:color w:val="auto"/>
          <w:sz w:val="24"/>
          <w:szCs w:val="24"/>
        </w:rPr>
      </w:pPr>
      <w:r>
        <w:rPr>
          <w:rFonts w:hint="eastAsia" w:ascii="宋体" w:hAnsi="宋体"/>
          <w:color w:val="auto"/>
          <w:sz w:val="24"/>
          <w:szCs w:val="24"/>
        </w:rPr>
        <w:t>2、我方愿意按照</w:t>
      </w:r>
      <w:r>
        <w:rPr>
          <w:rFonts w:hint="eastAsia" w:ascii="宋体" w:hAnsi="宋体"/>
          <w:color w:val="auto"/>
          <w:sz w:val="24"/>
          <w:szCs w:val="24"/>
          <w:lang w:eastAsia="zh-CN"/>
        </w:rPr>
        <w:t>磋商</w:t>
      </w:r>
      <w:r>
        <w:rPr>
          <w:rFonts w:hint="eastAsia" w:ascii="宋体" w:hAnsi="宋体"/>
          <w:color w:val="auto"/>
          <w:sz w:val="24"/>
          <w:szCs w:val="24"/>
        </w:rPr>
        <w:t>文件文件规定的各项要求，向采购人提供所需的服务，投标总报价为人民币（大写）</w:t>
      </w:r>
      <w:r>
        <w:rPr>
          <w:rFonts w:hint="eastAsia" w:ascii="宋体" w:hAnsi="宋体"/>
          <w:color w:val="auto"/>
          <w:sz w:val="24"/>
          <w:szCs w:val="24"/>
          <w:u w:val="single"/>
        </w:rPr>
        <w:t xml:space="preserve">       </w:t>
      </w:r>
      <w:r>
        <w:rPr>
          <w:rFonts w:hint="eastAsia" w:ascii="宋体" w:hAnsi="宋体"/>
          <w:color w:val="auto"/>
          <w:sz w:val="24"/>
          <w:szCs w:val="24"/>
        </w:rPr>
        <w:t>元（小写</w:t>
      </w:r>
      <w:r>
        <w:rPr>
          <w:rFonts w:hint="eastAsia" w:ascii="宋体" w:hAnsi="宋体"/>
          <w:color w:val="auto"/>
          <w:sz w:val="24"/>
          <w:szCs w:val="24"/>
          <w:u w:val="single"/>
        </w:rPr>
        <w:t xml:space="preserve">        </w:t>
      </w:r>
      <w:r>
        <w:rPr>
          <w:rFonts w:hint="eastAsia" w:ascii="宋体" w:hAnsi="宋体"/>
          <w:color w:val="auto"/>
          <w:sz w:val="24"/>
          <w:szCs w:val="24"/>
        </w:rPr>
        <w:t>元），</w:t>
      </w:r>
      <w:r>
        <w:rPr>
          <w:rFonts w:hint="eastAsia" w:ascii="宋体" w:hAnsi="宋体"/>
          <w:color w:val="auto"/>
          <w:sz w:val="24"/>
          <w:szCs w:val="24"/>
          <w:lang w:eastAsia="zh-CN"/>
        </w:rPr>
        <w:t>服务期</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bCs/>
          <w:color w:val="auto"/>
          <w:sz w:val="24"/>
          <w:szCs w:val="24"/>
          <w:lang w:val="zh-CN"/>
        </w:rPr>
        <w:t>日历天</w:t>
      </w:r>
      <w:r>
        <w:rPr>
          <w:rFonts w:hint="eastAsia" w:ascii="宋体" w:hAnsi="宋体"/>
          <w:color w:val="auto"/>
          <w:sz w:val="24"/>
          <w:szCs w:val="24"/>
        </w:rPr>
        <w:t>,质量达到</w:t>
      </w:r>
      <w:r>
        <w:rPr>
          <w:rFonts w:hint="eastAsia" w:ascii="宋体" w:hAnsi="宋体"/>
          <w:color w:val="auto"/>
          <w:sz w:val="24"/>
          <w:szCs w:val="24"/>
          <w:u w:val="single"/>
          <w:lang w:val="en-US" w:eastAsia="zh-CN"/>
        </w:rPr>
        <w:t xml:space="preserve">         </w:t>
      </w:r>
      <w:r>
        <w:rPr>
          <w:rFonts w:hint="eastAsia" w:ascii="宋体" w:hAnsi="宋体"/>
          <w:color w:val="auto"/>
          <w:sz w:val="24"/>
          <w:szCs w:val="24"/>
        </w:rPr>
        <w:t>。</w:t>
      </w:r>
    </w:p>
    <w:p w14:paraId="600288FA">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宋体" w:hAnsi="宋体"/>
          <w:color w:val="auto"/>
          <w:sz w:val="24"/>
          <w:szCs w:val="24"/>
        </w:rPr>
      </w:pPr>
      <w:r>
        <w:rPr>
          <w:rFonts w:hint="eastAsia" w:ascii="宋体" w:hAnsi="宋体"/>
          <w:color w:val="auto"/>
          <w:sz w:val="24"/>
          <w:szCs w:val="24"/>
        </w:rPr>
        <w:t>3、一旦我方中标，我方将严格履行合同规定的责任和义务，按</w:t>
      </w:r>
      <w:r>
        <w:rPr>
          <w:rFonts w:hint="eastAsia" w:ascii="宋体" w:hAnsi="宋体"/>
          <w:color w:val="auto"/>
          <w:sz w:val="24"/>
          <w:szCs w:val="24"/>
          <w:lang w:eastAsia="zh-CN"/>
        </w:rPr>
        <w:t>磋商</w:t>
      </w:r>
      <w:r>
        <w:rPr>
          <w:rFonts w:hint="eastAsia" w:ascii="宋体" w:hAnsi="宋体"/>
          <w:color w:val="auto"/>
          <w:sz w:val="24"/>
          <w:szCs w:val="24"/>
        </w:rPr>
        <w:t>文件要求提交招标代理服务费、</w:t>
      </w:r>
      <w:r>
        <w:rPr>
          <w:rFonts w:hint="eastAsia" w:ascii="宋体" w:hAnsi="宋体"/>
          <w:color w:val="auto"/>
          <w:sz w:val="24"/>
          <w:szCs w:val="24"/>
          <w:lang w:eastAsia="zh-CN"/>
        </w:rPr>
        <w:t>专家</w:t>
      </w:r>
      <w:r>
        <w:rPr>
          <w:rFonts w:hint="eastAsia" w:ascii="宋体" w:hAnsi="宋体"/>
          <w:color w:val="auto"/>
          <w:sz w:val="24"/>
          <w:szCs w:val="24"/>
        </w:rPr>
        <w:t>评审费，保证于合同签字</w:t>
      </w:r>
      <w:r>
        <w:rPr>
          <w:rFonts w:hint="eastAsia" w:ascii="宋体" w:hAnsi="宋体"/>
          <w:color w:val="auto"/>
          <w:sz w:val="24"/>
          <w:szCs w:val="24"/>
          <w:lang w:eastAsia="zh-CN"/>
        </w:rPr>
        <w:t>或盖章</w:t>
      </w:r>
      <w:r>
        <w:rPr>
          <w:rFonts w:hint="eastAsia" w:ascii="宋体" w:hAnsi="宋体"/>
          <w:color w:val="auto"/>
          <w:sz w:val="24"/>
          <w:szCs w:val="24"/>
        </w:rPr>
        <w:t>生效后，按规定的时间完成项目全部内容并交付采购人验收。</w:t>
      </w:r>
    </w:p>
    <w:p w14:paraId="62718CF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rPr>
        <w:t>投标有效期为自投标截止之日起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日历天；</w:t>
      </w:r>
      <w:r>
        <w:rPr>
          <w:rFonts w:hint="eastAsia" w:ascii="宋体" w:hAnsi="宋体"/>
          <w:color w:val="auto"/>
          <w:sz w:val="24"/>
          <w:szCs w:val="24"/>
        </w:rPr>
        <w:t>我方承诺完全响应</w:t>
      </w:r>
      <w:r>
        <w:rPr>
          <w:rFonts w:hint="eastAsia" w:ascii="宋体" w:hAnsi="宋体"/>
          <w:color w:val="auto"/>
          <w:sz w:val="24"/>
          <w:szCs w:val="24"/>
          <w:lang w:eastAsia="zh-CN"/>
        </w:rPr>
        <w:t>招标</w:t>
      </w:r>
      <w:r>
        <w:rPr>
          <w:rFonts w:hint="eastAsia" w:ascii="宋体" w:hAnsi="宋体"/>
          <w:color w:val="auto"/>
          <w:sz w:val="24"/>
          <w:szCs w:val="24"/>
        </w:rPr>
        <w:t>文件及补充、澄清、修改文件中的全部内容。</w:t>
      </w:r>
    </w:p>
    <w:p w14:paraId="0130FA30">
      <w:pPr>
        <w:keepNext w:val="0"/>
        <w:keepLines w:val="0"/>
        <w:pageBreakBefore w:val="0"/>
        <w:widowControl w:val="0"/>
        <w:kinsoku/>
        <w:wordWrap/>
        <w:overflowPunct/>
        <w:topLinePunct w:val="0"/>
        <w:autoSpaceDE/>
        <w:autoSpaceDN/>
        <w:bidi w:val="0"/>
        <w:adjustRightInd/>
        <w:snapToGrid/>
        <w:spacing w:line="600" w:lineRule="exact"/>
        <w:ind w:left="237" w:leftChars="113" w:firstLine="237" w:firstLineChars="99"/>
        <w:textAlignment w:val="auto"/>
        <w:outlineLvl w:val="9"/>
        <w:rPr>
          <w:rFonts w:ascii="宋体" w:hAnsi="宋体"/>
          <w:color w:val="auto"/>
          <w:sz w:val="24"/>
        </w:rPr>
      </w:pPr>
      <w:r>
        <w:rPr>
          <w:rFonts w:hint="eastAsia" w:ascii="宋体" w:hAnsi="宋体"/>
          <w:color w:val="auto"/>
          <w:sz w:val="24"/>
        </w:rPr>
        <w:t>5、</w:t>
      </w:r>
      <w:r>
        <w:rPr>
          <w:rFonts w:hint="eastAsia" w:ascii="宋体" w:hAnsi="宋体"/>
          <w:color w:val="auto"/>
          <w:sz w:val="24"/>
          <w:lang w:eastAsia="zh-CN"/>
        </w:rPr>
        <w:t>投标</w:t>
      </w:r>
      <w:r>
        <w:rPr>
          <w:rFonts w:hint="eastAsia" w:ascii="宋体" w:hAnsi="宋体"/>
          <w:color w:val="auto"/>
          <w:sz w:val="24"/>
        </w:rPr>
        <w:t>供应商已详细审查全部</w:t>
      </w:r>
      <w:r>
        <w:rPr>
          <w:rFonts w:hint="eastAsia" w:ascii="宋体" w:hAnsi="宋体"/>
          <w:color w:val="auto"/>
          <w:sz w:val="24"/>
          <w:lang w:eastAsia="zh-CN"/>
        </w:rPr>
        <w:t xml:space="preserve">磋商 </w:t>
      </w:r>
      <w:r>
        <w:rPr>
          <w:rFonts w:hint="eastAsia" w:ascii="宋体" w:hAnsi="宋体"/>
          <w:color w:val="auto"/>
          <w:sz w:val="24"/>
        </w:rPr>
        <w:t>文件，包括修改文件（如有的话）和有关附件，将自行承担因对全部</w:t>
      </w:r>
      <w:r>
        <w:rPr>
          <w:rFonts w:hint="eastAsia" w:ascii="宋体" w:hAnsi="宋体"/>
          <w:color w:val="auto"/>
          <w:sz w:val="24"/>
          <w:lang w:eastAsia="zh-CN"/>
        </w:rPr>
        <w:t xml:space="preserve">磋商 </w:t>
      </w:r>
      <w:r>
        <w:rPr>
          <w:rFonts w:hint="eastAsia" w:ascii="宋体" w:hAnsi="宋体"/>
          <w:color w:val="auto"/>
          <w:sz w:val="24"/>
        </w:rPr>
        <w:t>文件理解不正确或误解而产生的相应后果。</w:t>
      </w:r>
    </w:p>
    <w:p w14:paraId="494B6C86">
      <w:pPr>
        <w:keepNext w:val="0"/>
        <w:keepLines w:val="0"/>
        <w:pageBreakBefore w:val="0"/>
        <w:widowControl w:val="0"/>
        <w:kinsoku/>
        <w:wordWrap/>
        <w:overflowPunct/>
        <w:topLinePunct w:val="0"/>
        <w:autoSpaceDE/>
        <w:autoSpaceDN/>
        <w:bidi w:val="0"/>
        <w:adjustRightInd/>
        <w:snapToGrid/>
        <w:spacing w:line="600" w:lineRule="exact"/>
        <w:ind w:left="237" w:leftChars="113" w:firstLine="237" w:firstLineChars="99"/>
        <w:textAlignment w:val="auto"/>
        <w:outlineLvl w:val="9"/>
        <w:rPr>
          <w:rFonts w:ascii="宋体" w:hAnsi="宋体"/>
          <w:color w:val="auto"/>
          <w:sz w:val="24"/>
        </w:rPr>
      </w:pPr>
      <w:r>
        <w:rPr>
          <w:rFonts w:hint="eastAsia" w:ascii="宋体" w:hAnsi="宋体"/>
          <w:color w:val="auto"/>
          <w:sz w:val="24"/>
        </w:rPr>
        <w:t>6、</w:t>
      </w:r>
      <w:r>
        <w:rPr>
          <w:rFonts w:hint="eastAsia" w:ascii="宋体" w:hAnsi="宋体"/>
          <w:color w:val="auto"/>
          <w:sz w:val="24"/>
          <w:lang w:eastAsia="zh-CN"/>
        </w:rPr>
        <w:t>投标</w:t>
      </w:r>
      <w:r>
        <w:rPr>
          <w:rFonts w:hint="eastAsia" w:ascii="宋体" w:hAnsi="宋体"/>
          <w:color w:val="auto"/>
          <w:sz w:val="24"/>
        </w:rPr>
        <w:t>供应商保证遵守</w:t>
      </w:r>
      <w:r>
        <w:rPr>
          <w:rFonts w:hint="eastAsia" w:ascii="宋体" w:hAnsi="宋体"/>
          <w:color w:val="auto"/>
          <w:sz w:val="24"/>
          <w:lang w:eastAsia="zh-CN"/>
        </w:rPr>
        <w:t>磋商</w:t>
      </w:r>
      <w:r>
        <w:rPr>
          <w:rFonts w:hint="eastAsia" w:ascii="宋体" w:hAnsi="宋体"/>
          <w:color w:val="auto"/>
          <w:sz w:val="24"/>
        </w:rPr>
        <w:t>文件的全部规定，供应商所提交的材料中所含的信息均为真实、准确、完整，且不具有任何误导性。</w:t>
      </w:r>
    </w:p>
    <w:p w14:paraId="34C67564">
      <w:pPr>
        <w:keepNext w:val="0"/>
        <w:keepLines w:val="0"/>
        <w:pageBreakBefore w:val="0"/>
        <w:widowControl w:val="0"/>
        <w:kinsoku/>
        <w:wordWrap/>
        <w:overflowPunct/>
        <w:topLinePunct w:val="0"/>
        <w:autoSpaceDE/>
        <w:autoSpaceDN/>
        <w:bidi w:val="0"/>
        <w:adjustRightInd/>
        <w:snapToGrid/>
        <w:spacing w:line="600" w:lineRule="exact"/>
        <w:ind w:left="17" w:leftChars="8" w:firstLine="456" w:firstLineChars="190"/>
        <w:textAlignment w:val="auto"/>
        <w:outlineLvl w:val="9"/>
        <w:rPr>
          <w:rFonts w:ascii="宋体" w:hAnsi="宋体"/>
          <w:color w:val="auto"/>
          <w:sz w:val="24"/>
        </w:rPr>
      </w:pPr>
      <w:r>
        <w:rPr>
          <w:rFonts w:hint="eastAsia" w:ascii="宋体" w:hAnsi="宋体"/>
          <w:color w:val="auto"/>
          <w:sz w:val="24"/>
        </w:rPr>
        <w:t>7、</w:t>
      </w:r>
      <w:r>
        <w:rPr>
          <w:rFonts w:hint="eastAsia" w:ascii="宋体" w:hAnsi="宋体"/>
          <w:color w:val="auto"/>
          <w:sz w:val="24"/>
          <w:lang w:eastAsia="zh-CN"/>
        </w:rPr>
        <w:t>投标</w:t>
      </w:r>
      <w:r>
        <w:rPr>
          <w:rFonts w:hint="eastAsia" w:ascii="宋体" w:hAnsi="宋体"/>
          <w:color w:val="auto"/>
          <w:sz w:val="24"/>
        </w:rPr>
        <w:t>供应商将按</w:t>
      </w:r>
      <w:r>
        <w:rPr>
          <w:rFonts w:hint="eastAsia" w:ascii="宋体" w:hAnsi="宋体"/>
          <w:color w:val="auto"/>
          <w:sz w:val="24"/>
          <w:lang w:eastAsia="zh-CN"/>
        </w:rPr>
        <w:t>磋商</w:t>
      </w:r>
      <w:r>
        <w:rPr>
          <w:rFonts w:hint="eastAsia" w:ascii="宋体" w:hAnsi="宋体"/>
          <w:color w:val="auto"/>
          <w:sz w:val="24"/>
        </w:rPr>
        <w:t>文件的规定履行合同责任和义务。</w:t>
      </w:r>
    </w:p>
    <w:p w14:paraId="70AB5BE2">
      <w:pPr>
        <w:keepNext w:val="0"/>
        <w:keepLines w:val="0"/>
        <w:pageBreakBefore w:val="0"/>
        <w:widowControl w:val="0"/>
        <w:kinsoku/>
        <w:wordWrap/>
        <w:overflowPunct/>
        <w:topLinePunct w:val="0"/>
        <w:autoSpaceDE/>
        <w:autoSpaceDN/>
        <w:bidi w:val="0"/>
        <w:adjustRightInd/>
        <w:snapToGrid/>
        <w:spacing w:line="600" w:lineRule="exact"/>
        <w:ind w:left="237" w:leftChars="113" w:firstLine="237" w:firstLineChars="99"/>
        <w:textAlignment w:val="auto"/>
        <w:outlineLvl w:val="9"/>
        <w:rPr>
          <w:rFonts w:hint="eastAsia" w:ascii="宋体" w:hAnsi="宋体"/>
          <w:color w:val="auto"/>
          <w:sz w:val="24"/>
          <w:szCs w:val="24"/>
        </w:rPr>
      </w:pPr>
      <w:r>
        <w:rPr>
          <w:rFonts w:hint="eastAsia" w:ascii="宋体" w:hAnsi="宋体"/>
          <w:color w:val="auto"/>
          <w:sz w:val="24"/>
        </w:rPr>
        <w:t>8、</w:t>
      </w:r>
      <w:r>
        <w:rPr>
          <w:rFonts w:hint="eastAsia" w:ascii="宋体" w:hAnsi="宋体"/>
          <w:color w:val="auto"/>
          <w:sz w:val="24"/>
          <w:lang w:eastAsia="zh-CN"/>
        </w:rPr>
        <w:t>投标</w:t>
      </w:r>
      <w:r>
        <w:rPr>
          <w:rFonts w:hint="eastAsia" w:ascii="宋体" w:hAnsi="宋体"/>
          <w:color w:val="auto"/>
          <w:sz w:val="24"/>
        </w:rPr>
        <w:t>供应商同意提供按照采购人</w:t>
      </w:r>
      <w:r>
        <w:rPr>
          <w:rFonts w:hint="eastAsia" w:ascii="宋体" w:hAnsi="宋体"/>
          <w:color w:val="auto"/>
          <w:sz w:val="24"/>
          <w:lang w:eastAsia="zh-CN"/>
        </w:rPr>
        <w:t>的</w:t>
      </w:r>
      <w:r>
        <w:rPr>
          <w:rFonts w:hint="eastAsia" w:ascii="宋体" w:hAnsi="宋体"/>
          <w:color w:val="auto"/>
          <w:sz w:val="24"/>
        </w:rPr>
        <w:t>要求与其招标有关的一切数据或资料</w:t>
      </w:r>
      <w:r>
        <w:rPr>
          <w:rFonts w:hint="eastAsia" w:ascii="宋体" w:hAnsi="宋体"/>
          <w:color w:val="auto"/>
          <w:sz w:val="24"/>
          <w:lang w:eastAsia="zh-CN"/>
        </w:rPr>
        <w:t>予以保密并承担法律责任。</w:t>
      </w:r>
    </w:p>
    <w:p w14:paraId="15E5CF23">
      <w:pPr>
        <w:keepNext w:val="0"/>
        <w:keepLines w:val="0"/>
        <w:pageBreakBefore w:val="0"/>
        <w:widowControl w:val="0"/>
        <w:tabs>
          <w:tab w:val="left" w:pos="0"/>
          <w:tab w:val="left" w:pos="840"/>
        </w:tabs>
        <w:kinsoku/>
        <w:wordWrap/>
        <w:overflowPunct/>
        <w:topLinePunct w:val="0"/>
        <w:autoSpaceDE/>
        <w:autoSpaceDN/>
        <w:bidi w:val="0"/>
        <w:adjustRightInd/>
        <w:snapToGrid/>
        <w:spacing w:line="520" w:lineRule="exact"/>
        <w:textAlignment w:val="auto"/>
        <w:outlineLvl w:val="9"/>
        <w:rPr>
          <w:rFonts w:hint="eastAsia" w:ascii="宋体" w:hAnsi="宋体"/>
          <w:color w:val="auto"/>
          <w:sz w:val="24"/>
          <w:szCs w:val="24"/>
        </w:rPr>
      </w:pPr>
      <w:r>
        <w:rPr>
          <w:rFonts w:hint="eastAsia" w:ascii="宋体" w:hAnsi="宋体"/>
          <w:color w:val="auto"/>
          <w:sz w:val="24"/>
          <w:szCs w:val="24"/>
        </w:rPr>
        <w:t xml:space="preserve">    供应商名称：</w:t>
      </w:r>
      <w:r>
        <w:rPr>
          <w:rFonts w:hint="eastAsia" w:ascii="宋体" w:hAnsi="宋体"/>
          <w:color w:val="auto"/>
          <w:sz w:val="24"/>
          <w:szCs w:val="24"/>
          <w:u w:val="single"/>
        </w:rPr>
        <w:t xml:space="preserve">             （公    章）                   </w:t>
      </w:r>
    </w:p>
    <w:p w14:paraId="1AD0D5A3">
      <w:pPr>
        <w:keepNext w:val="0"/>
        <w:keepLines w:val="0"/>
        <w:pageBreakBefore w:val="0"/>
        <w:widowControl w:val="0"/>
        <w:kinsoku/>
        <w:wordWrap/>
        <w:overflowPunct/>
        <w:topLinePunct w:val="0"/>
        <w:autoSpaceDE/>
        <w:autoSpaceDN/>
        <w:bidi w:val="0"/>
        <w:adjustRightInd/>
        <w:snapToGrid/>
        <w:spacing w:line="520" w:lineRule="exact"/>
        <w:ind w:firstLine="539"/>
        <w:textAlignment w:val="auto"/>
        <w:outlineLvl w:val="9"/>
        <w:rPr>
          <w:rFonts w:hint="eastAsia" w:ascii="宋体" w:hAnsi="宋体"/>
          <w:color w:val="auto"/>
          <w:sz w:val="24"/>
          <w:szCs w:val="24"/>
          <w:u w:val="single"/>
        </w:rPr>
      </w:pPr>
      <w:r>
        <w:rPr>
          <w:rFonts w:hint="eastAsia" w:ascii="宋体" w:hAnsi="宋体" w:cs="宋体"/>
          <w:b w:val="0"/>
          <w:bCs w:val="0"/>
          <w:color w:val="auto"/>
          <w:sz w:val="24"/>
          <w:szCs w:val="24"/>
        </w:rPr>
        <w:t>法定代表人</w:t>
      </w:r>
      <w:r>
        <w:rPr>
          <w:rFonts w:hint="eastAsia" w:ascii="宋体" w:hAnsi="宋体" w:cs="宋体"/>
          <w:b w:val="0"/>
          <w:bCs w:val="0"/>
          <w:color w:val="auto"/>
          <w:sz w:val="24"/>
          <w:szCs w:val="24"/>
          <w:lang w:eastAsia="zh-CN"/>
        </w:rPr>
        <w:t>（单位负责人）</w:t>
      </w:r>
      <w:r>
        <w:rPr>
          <w:rFonts w:hint="eastAsia" w:ascii="宋体" w:hAnsi="宋体" w:cs="宋体"/>
          <w:b w:val="0"/>
          <w:bCs w:val="0"/>
          <w:color w:val="auto"/>
          <w:sz w:val="24"/>
          <w:szCs w:val="24"/>
        </w:rPr>
        <w:t>或委托代理人（签字或盖章）</w:t>
      </w:r>
      <w:r>
        <w:rPr>
          <w:rFonts w:hint="eastAsia" w:ascii="宋体" w:hAnsi="宋体"/>
          <w:color w:val="auto"/>
          <w:sz w:val="24"/>
          <w:szCs w:val="24"/>
        </w:rPr>
        <w:t>：</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28E848A5">
      <w:pPr>
        <w:keepNext w:val="0"/>
        <w:keepLines w:val="0"/>
        <w:pageBreakBefore w:val="0"/>
        <w:widowControl w:val="0"/>
        <w:kinsoku/>
        <w:wordWrap/>
        <w:overflowPunct/>
        <w:topLinePunct w:val="0"/>
        <w:autoSpaceDE/>
        <w:autoSpaceDN/>
        <w:bidi w:val="0"/>
        <w:adjustRightInd/>
        <w:snapToGrid/>
        <w:spacing w:line="520" w:lineRule="exact"/>
        <w:ind w:firstLine="539"/>
        <w:textAlignment w:val="auto"/>
        <w:outlineLvl w:val="9"/>
        <w:rPr>
          <w:rFonts w:hint="eastAsia" w:ascii="宋体" w:hAnsi="宋体"/>
          <w:color w:val="auto"/>
          <w:sz w:val="24"/>
          <w:szCs w:val="24"/>
        </w:rPr>
      </w:pPr>
      <w:r>
        <w:rPr>
          <w:rFonts w:hint="eastAsia" w:ascii="宋体" w:hAnsi="宋体"/>
          <w:color w:val="auto"/>
          <w:sz w:val="24"/>
          <w:szCs w:val="24"/>
        </w:rPr>
        <w:t>日     期：</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00DD0775">
      <w:pPr>
        <w:spacing w:line="440" w:lineRule="exact"/>
        <w:jc w:val="center"/>
        <w:rPr>
          <w:rFonts w:hint="eastAsia" w:ascii="宋体" w:hAnsi="宋体"/>
          <w:color w:val="auto"/>
          <w:sz w:val="24"/>
          <w:szCs w:val="24"/>
        </w:rPr>
      </w:pPr>
      <w:r>
        <w:rPr>
          <w:rFonts w:hint="eastAsia" w:ascii="宋体" w:hAnsi="宋体"/>
          <w:color w:val="auto"/>
          <w:sz w:val="24"/>
          <w:szCs w:val="24"/>
        </w:rPr>
        <w:t xml:space="preserve">    </w:t>
      </w:r>
    </w:p>
    <w:p w14:paraId="70605005">
      <w:pPr>
        <w:spacing w:line="440" w:lineRule="exact"/>
        <w:jc w:val="center"/>
        <w:rPr>
          <w:rFonts w:hint="eastAsia" w:ascii="宋体" w:hAnsi="宋体"/>
          <w:color w:val="auto"/>
          <w:sz w:val="24"/>
          <w:szCs w:val="24"/>
        </w:rPr>
      </w:pPr>
    </w:p>
    <w:p w14:paraId="4696AB0E">
      <w:pPr>
        <w:spacing w:line="440" w:lineRule="exact"/>
        <w:jc w:val="center"/>
        <w:rPr>
          <w:rFonts w:hint="eastAsia" w:ascii="宋体" w:hAnsi="宋体"/>
          <w:color w:val="auto"/>
          <w:sz w:val="24"/>
          <w:szCs w:val="24"/>
        </w:rPr>
      </w:pPr>
    </w:p>
    <w:p w14:paraId="383A2901">
      <w:pPr>
        <w:pStyle w:val="7"/>
        <w:rPr>
          <w:color w:val="auto"/>
        </w:rPr>
      </w:pPr>
    </w:p>
    <w:p w14:paraId="1FA15559">
      <w:pPr>
        <w:pStyle w:val="2"/>
        <w:rPr>
          <w:color w:val="auto"/>
        </w:rPr>
      </w:pPr>
    </w:p>
    <w:p w14:paraId="049C98C8">
      <w:pPr>
        <w:pStyle w:val="5"/>
        <w:rPr>
          <w:color w:val="auto"/>
        </w:rPr>
      </w:pPr>
    </w:p>
    <w:p w14:paraId="05F8650F">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ascii="宋体"/>
          <w:b/>
          <w:bCs/>
          <w:color w:val="auto"/>
          <w:sz w:val="28"/>
          <w:szCs w:val="28"/>
        </w:rPr>
      </w:pPr>
      <w:r>
        <w:rPr>
          <w:rFonts w:ascii="宋体" w:hAnsi="宋体"/>
          <w:b/>
          <w:bCs/>
          <w:color w:val="auto"/>
          <w:sz w:val="28"/>
          <w:szCs w:val="28"/>
        </w:rPr>
        <w:t xml:space="preserve"> </w:t>
      </w:r>
      <w:r>
        <w:rPr>
          <w:rFonts w:hint="eastAsia" w:ascii="宋体" w:hAnsi="宋体"/>
          <w:b/>
          <w:color w:val="auto"/>
          <w:sz w:val="28"/>
          <w:szCs w:val="28"/>
        </w:rPr>
        <w:t>格式</w:t>
      </w:r>
      <w:r>
        <w:rPr>
          <w:rFonts w:hint="eastAsia" w:ascii="宋体" w:hAnsi="宋体"/>
          <w:b/>
          <w:color w:val="auto"/>
          <w:sz w:val="28"/>
          <w:szCs w:val="28"/>
          <w:lang w:val="en-US" w:eastAsia="zh-CN"/>
        </w:rPr>
        <w:t>3</w:t>
      </w:r>
      <w:r>
        <w:rPr>
          <w:rFonts w:hint="eastAsia" w:ascii="宋体" w:hAnsi="宋体"/>
          <w:b/>
          <w:color w:val="auto"/>
          <w:sz w:val="28"/>
          <w:szCs w:val="28"/>
        </w:rPr>
        <w:t>、</w:t>
      </w:r>
      <w:r>
        <w:rPr>
          <w:rFonts w:hint="eastAsia" w:ascii="宋体" w:hAnsi="宋体" w:eastAsia="宋体" w:cs="宋体"/>
          <w:b/>
          <w:color w:val="auto"/>
          <w:kern w:val="0"/>
          <w:sz w:val="28"/>
          <w:szCs w:val="28"/>
        </w:rPr>
        <w:t>法定代表人（单位负责人）授权委托书</w:t>
      </w:r>
    </w:p>
    <w:p w14:paraId="244060D1">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hAnsi="宋体"/>
          <w:b/>
          <w:bCs w:val="0"/>
          <w:color w:val="auto"/>
          <w:sz w:val="24"/>
          <w:szCs w:val="24"/>
        </w:rPr>
      </w:pPr>
      <w:r>
        <w:rPr>
          <w:rFonts w:hint="eastAsia" w:ascii="宋体" w:hAnsi="宋体"/>
          <w:b/>
          <w:bCs w:val="0"/>
          <w:color w:val="auto"/>
          <w:sz w:val="24"/>
          <w:szCs w:val="24"/>
        </w:rPr>
        <w:t>致：</w:t>
      </w:r>
      <w:r>
        <w:rPr>
          <w:rFonts w:hint="eastAsia" w:ascii="宋体" w:hAnsi="宋体" w:cs="Times New Roman"/>
          <w:b/>
          <w:bCs w:val="0"/>
          <w:color w:val="auto"/>
          <w:sz w:val="24"/>
          <w:szCs w:val="24"/>
          <w:lang w:eastAsia="zh-CN"/>
        </w:rPr>
        <w:t>淮南市</w:t>
      </w:r>
      <w:r>
        <w:rPr>
          <w:rFonts w:hint="eastAsia" w:ascii="宋体" w:hAnsi="宋体" w:cs="Times New Roman"/>
          <w:b/>
          <w:bCs w:val="0"/>
          <w:color w:val="auto"/>
          <w:sz w:val="24"/>
          <w:szCs w:val="24"/>
          <w:lang w:val="en-US" w:eastAsia="zh-CN"/>
        </w:rPr>
        <w:t>应急管理</w:t>
      </w:r>
      <w:r>
        <w:rPr>
          <w:rFonts w:hint="eastAsia" w:ascii="宋体" w:hAnsi="宋体" w:cs="Times New Roman"/>
          <w:b/>
          <w:bCs w:val="0"/>
          <w:color w:val="auto"/>
          <w:sz w:val="24"/>
          <w:szCs w:val="24"/>
          <w:lang w:eastAsia="zh-CN"/>
        </w:rPr>
        <w:t>局</w:t>
      </w:r>
    </w:p>
    <w:p w14:paraId="5F80ED6F">
      <w:pPr>
        <w:keepNext w:val="0"/>
        <w:keepLines w:val="0"/>
        <w:pageBreakBefore w:val="0"/>
        <w:widowControl/>
        <w:kinsoku/>
        <w:wordWrap/>
        <w:overflowPunct/>
        <w:topLinePunct w:val="0"/>
        <w:autoSpaceDE/>
        <w:autoSpaceDN/>
        <w:bidi w:val="0"/>
        <w:adjustRightInd/>
        <w:snapToGrid/>
        <w:spacing w:line="400" w:lineRule="exact"/>
        <w:ind w:right="31" w:firstLine="480" w:firstLineChars="200"/>
        <w:textAlignment w:val="auto"/>
        <w:outlineLvl w:val="9"/>
        <w:rPr>
          <w:rFonts w:hint="eastAsia" w:ascii="宋体" w:hAnsi="宋体" w:eastAsia="宋体" w:cs="Times New Roman"/>
          <w:color w:val="auto"/>
          <w:kern w:val="0"/>
          <w:sz w:val="24"/>
          <w:szCs w:val="24"/>
        </w:rPr>
      </w:pPr>
      <w:r>
        <w:rPr>
          <w:rFonts w:ascii="宋体" w:hAnsi="宋体"/>
          <w:color w:val="auto"/>
          <w:sz w:val="24"/>
          <w:szCs w:val="24"/>
        </w:rPr>
        <w:t xml:space="preserve">   </w:t>
      </w:r>
      <w:r>
        <w:rPr>
          <w:rFonts w:hint="eastAsia" w:ascii="宋体" w:hAnsi="宋体" w:eastAsia="宋体" w:cs="Times New Roman"/>
          <w:color w:val="auto"/>
          <w:kern w:val="0"/>
          <w:sz w:val="24"/>
          <w:szCs w:val="24"/>
        </w:rPr>
        <w:t>本人</w:t>
      </w:r>
      <w:r>
        <w:rPr>
          <w:rFonts w:hint="eastAsia" w:ascii="宋体" w:hAnsi="宋体" w:eastAsia="宋体" w:cs="Times New Roman"/>
          <w:color w:val="auto"/>
          <w:spacing w:val="42"/>
          <w:kern w:val="0"/>
          <w:sz w:val="24"/>
          <w:szCs w:val="24"/>
          <w:u w:val="single"/>
        </w:rPr>
        <w:t xml:space="preserve"> </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cs="Times New Roman"/>
          <w:color w:val="auto"/>
          <w:kern w:val="0"/>
          <w:sz w:val="24"/>
          <w:szCs w:val="24"/>
          <w:u w:val="single"/>
          <w:lang w:val="en-US" w:eastAsia="zh-CN"/>
        </w:rPr>
        <w:t xml:space="preserve">     </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w:t>
      </w:r>
      <w:r>
        <w:rPr>
          <w:rFonts w:hint="eastAsia" w:ascii="宋体" w:hAnsi="宋体" w:eastAsia="宋体" w:cs="Times New Roman"/>
          <w:color w:val="auto"/>
          <w:spacing w:val="-1"/>
          <w:kern w:val="0"/>
          <w:sz w:val="24"/>
          <w:szCs w:val="24"/>
        </w:rPr>
        <w:t>姓</w:t>
      </w:r>
      <w:r>
        <w:rPr>
          <w:rFonts w:hint="eastAsia" w:ascii="宋体" w:hAnsi="宋体" w:eastAsia="宋体" w:cs="Times New Roman"/>
          <w:color w:val="auto"/>
          <w:kern w:val="0"/>
          <w:sz w:val="24"/>
          <w:szCs w:val="24"/>
        </w:rPr>
        <w:t>名）系</w:t>
      </w:r>
      <w:r>
        <w:rPr>
          <w:rFonts w:hint="eastAsia" w:ascii="宋体" w:hAnsi="宋体" w:eastAsia="宋体" w:cs="Times New Roman"/>
          <w:color w:val="auto"/>
          <w:spacing w:val="42"/>
          <w:kern w:val="0"/>
          <w:sz w:val="24"/>
          <w:szCs w:val="24"/>
          <w:u w:val="single"/>
        </w:rPr>
        <w:t xml:space="preserve"> </w:t>
      </w:r>
      <w:r>
        <w:rPr>
          <w:rFonts w:hint="eastAsia" w:ascii="宋体" w:hAnsi="宋体" w:eastAsia="宋体" w:cs="Times New Roman"/>
          <w:color w:val="auto"/>
          <w:spacing w:val="42"/>
          <w:kern w:val="0"/>
          <w:sz w:val="24"/>
          <w:szCs w:val="24"/>
          <w:u w:val="single"/>
          <w:lang w:val="en-US" w:eastAsia="zh-CN"/>
        </w:rPr>
        <w:t xml:space="preserve">      </w:t>
      </w:r>
      <w:r>
        <w:rPr>
          <w:rFonts w:hint="eastAsia" w:ascii="宋体" w:hAnsi="宋体" w:eastAsia="宋体" w:cs="Times New Roman"/>
          <w:color w:val="auto"/>
          <w:spacing w:val="42"/>
          <w:kern w:val="0"/>
          <w:sz w:val="24"/>
          <w:szCs w:val="24"/>
          <w:u w:val="single"/>
        </w:rPr>
        <w:t xml:space="preserve">  </w:t>
      </w:r>
      <w:r>
        <w:rPr>
          <w:rFonts w:hint="eastAsia" w:ascii="宋体" w:hAnsi="宋体" w:eastAsia="宋体" w:cs="Times New Roman"/>
          <w:color w:val="auto"/>
          <w:kern w:val="0"/>
          <w:sz w:val="24"/>
          <w:szCs w:val="24"/>
        </w:rPr>
        <w:t>（</w:t>
      </w:r>
      <w:r>
        <w:rPr>
          <w:rFonts w:hint="eastAsia" w:ascii="宋体" w:hAnsi="宋体" w:eastAsia="宋体" w:cs="Times New Roman"/>
          <w:color w:val="auto"/>
          <w:kern w:val="0"/>
          <w:sz w:val="24"/>
          <w:szCs w:val="24"/>
          <w:lang w:eastAsia="zh-CN"/>
        </w:rPr>
        <w:t>供应商</w:t>
      </w:r>
      <w:r>
        <w:rPr>
          <w:rFonts w:hint="eastAsia" w:ascii="宋体" w:hAnsi="宋体" w:eastAsia="宋体" w:cs="Times New Roman"/>
          <w:color w:val="auto"/>
          <w:kern w:val="0"/>
          <w:sz w:val="24"/>
          <w:szCs w:val="24"/>
        </w:rPr>
        <w:t>名称）</w:t>
      </w:r>
      <w:r>
        <w:rPr>
          <w:rFonts w:hint="eastAsia" w:ascii="宋体" w:hAnsi="宋体" w:eastAsia="宋体" w:cs="Times New Roman"/>
          <w:color w:val="auto"/>
          <w:spacing w:val="1"/>
          <w:kern w:val="0"/>
          <w:sz w:val="24"/>
          <w:szCs w:val="24"/>
        </w:rPr>
        <w:t>的</w:t>
      </w:r>
      <w:r>
        <w:rPr>
          <w:rFonts w:hint="eastAsia" w:ascii="宋体" w:hAnsi="宋体" w:eastAsia="宋体" w:cs="Times New Roman"/>
          <w:color w:val="auto"/>
          <w:kern w:val="0"/>
          <w:sz w:val="24"/>
          <w:szCs w:val="24"/>
        </w:rPr>
        <w:t>法定代表</w:t>
      </w:r>
      <w:r>
        <w:rPr>
          <w:rFonts w:hint="eastAsia" w:ascii="宋体" w:hAnsi="宋体" w:eastAsia="宋体" w:cs="Times New Roman"/>
          <w:color w:val="auto"/>
          <w:spacing w:val="1"/>
          <w:kern w:val="0"/>
          <w:sz w:val="24"/>
          <w:szCs w:val="24"/>
        </w:rPr>
        <w:t>人</w:t>
      </w:r>
      <w:r>
        <w:rPr>
          <w:rFonts w:hint="eastAsia" w:ascii="宋体" w:hAnsi="宋体" w:eastAsia="宋体" w:cs="Times New Roman"/>
          <w:color w:val="auto"/>
          <w:spacing w:val="1"/>
          <w:kern w:val="0"/>
          <w:sz w:val="24"/>
          <w:szCs w:val="24"/>
          <w:lang w:eastAsia="zh-CN"/>
        </w:rPr>
        <w:t>（单位负责人）</w:t>
      </w:r>
      <w:r>
        <w:rPr>
          <w:rFonts w:hint="eastAsia" w:ascii="宋体" w:hAnsi="宋体" w:eastAsia="宋体" w:cs="Times New Roman"/>
          <w:color w:val="auto"/>
          <w:kern w:val="0"/>
          <w:sz w:val="24"/>
          <w:szCs w:val="24"/>
        </w:rPr>
        <w:t>，</w:t>
      </w:r>
      <w:r>
        <w:rPr>
          <w:rFonts w:hint="eastAsia" w:ascii="宋体" w:hAnsi="宋体" w:eastAsia="宋体" w:cs="Times New Roman"/>
          <w:color w:val="auto"/>
          <w:spacing w:val="1"/>
          <w:kern w:val="0"/>
          <w:sz w:val="24"/>
          <w:szCs w:val="24"/>
        </w:rPr>
        <w:t>现</w:t>
      </w:r>
      <w:r>
        <w:rPr>
          <w:rFonts w:hint="eastAsia" w:ascii="宋体" w:hAnsi="宋体" w:eastAsia="宋体" w:cs="Times New Roman"/>
          <w:color w:val="auto"/>
          <w:kern w:val="0"/>
          <w:sz w:val="24"/>
          <w:szCs w:val="24"/>
        </w:rPr>
        <w:t>委托</w:t>
      </w:r>
      <w:r>
        <w:rPr>
          <w:rFonts w:hint="eastAsia" w:ascii="宋体" w:hAnsi="宋体" w:eastAsia="宋体" w:cs="Times New Roman"/>
          <w:color w:val="auto"/>
          <w:spacing w:val="42"/>
          <w:kern w:val="0"/>
          <w:sz w:val="24"/>
          <w:szCs w:val="24"/>
          <w:u w:val="single"/>
        </w:rPr>
        <w:t xml:space="preserve">   </w:t>
      </w:r>
      <w:r>
        <w:rPr>
          <w:rFonts w:hint="eastAsia" w:ascii="宋体" w:hAnsi="宋体" w:cs="Times New Roman"/>
          <w:color w:val="auto"/>
          <w:spacing w:val="42"/>
          <w:kern w:val="0"/>
          <w:sz w:val="24"/>
          <w:szCs w:val="24"/>
          <w:u w:val="single"/>
          <w:lang w:val="en-US" w:eastAsia="zh-CN"/>
        </w:rPr>
        <w:t xml:space="preserve">  </w:t>
      </w:r>
      <w:r>
        <w:rPr>
          <w:rFonts w:hint="eastAsia" w:ascii="宋体" w:hAnsi="宋体" w:eastAsia="宋体" w:cs="Times New Roman"/>
          <w:color w:val="auto"/>
          <w:spacing w:val="42"/>
          <w:kern w:val="0"/>
          <w:sz w:val="24"/>
          <w:szCs w:val="24"/>
          <w:u w:val="single"/>
        </w:rPr>
        <w:t xml:space="preserve">  </w:t>
      </w:r>
      <w:r>
        <w:rPr>
          <w:rFonts w:hint="eastAsia" w:ascii="宋体" w:hAnsi="宋体" w:eastAsia="宋体" w:cs="Times New Roman"/>
          <w:color w:val="auto"/>
          <w:spacing w:val="-1"/>
          <w:kern w:val="0"/>
          <w:sz w:val="24"/>
          <w:szCs w:val="24"/>
        </w:rPr>
        <w:t>（</w:t>
      </w:r>
      <w:r>
        <w:rPr>
          <w:rFonts w:hint="eastAsia" w:ascii="宋体" w:hAnsi="宋体" w:eastAsia="宋体" w:cs="Times New Roman"/>
          <w:color w:val="auto"/>
          <w:kern w:val="0"/>
          <w:sz w:val="24"/>
          <w:szCs w:val="24"/>
        </w:rPr>
        <w:t>姓名）为我方代理人。代理人根据授权，以我方名义签署、澄清、说明、补正、递交</w:t>
      </w:r>
      <w:r>
        <w:rPr>
          <w:rFonts w:hint="eastAsia" w:ascii="宋体" w:hAnsi="宋体" w:eastAsia="宋体" w:cs="Times New Roman"/>
          <w:color w:val="auto"/>
          <w:spacing w:val="-13"/>
          <w:kern w:val="0"/>
          <w:sz w:val="24"/>
          <w:szCs w:val="24"/>
        </w:rPr>
        <w:t>、</w:t>
      </w:r>
      <w:r>
        <w:rPr>
          <w:rFonts w:hint="eastAsia" w:ascii="宋体" w:hAnsi="宋体" w:eastAsia="宋体" w:cs="Times New Roman"/>
          <w:color w:val="auto"/>
          <w:kern w:val="0"/>
          <w:sz w:val="24"/>
          <w:szCs w:val="24"/>
        </w:rPr>
        <w:t>撤回</w:t>
      </w:r>
      <w:r>
        <w:rPr>
          <w:rFonts w:hint="eastAsia" w:ascii="宋体" w:hAnsi="宋体" w:eastAsia="宋体" w:cs="Times New Roman"/>
          <w:color w:val="auto"/>
          <w:spacing w:val="-13"/>
          <w:kern w:val="0"/>
          <w:sz w:val="24"/>
          <w:szCs w:val="24"/>
        </w:rPr>
        <w:t>、</w:t>
      </w:r>
      <w:r>
        <w:rPr>
          <w:rFonts w:hint="eastAsia" w:ascii="宋体" w:hAnsi="宋体" w:eastAsia="宋体" w:cs="Times New Roman"/>
          <w:color w:val="auto"/>
          <w:kern w:val="0"/>
          <w:sz w:val="24"/>
          <w:szCs w:val="24"/>
        </w:rPr>
        <w:t>修改</w:t>
      </w:r>
      <w:r>
        <w:rPr>
          <w:rFonts w:hint="eastAsia" w:ascii="宋体" w:hAnsi="宋体" w:eastAsia="宋体" w:cs="Times New Roman"/>
          <w:color w:val="auto"/>
          <w:spacing w:val="42"/>
          <w:kern w:val="0"/>
          <w:sz w:val="24"/>
          <w:szCs w:val="24"/>
          <w:u w:val="single"/>
        </w:rPr>
        <w:t xml:space="preserve"> </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（项目名</w:t>
      </w:r>
      <w:r>
        <w:rPr>
          <w:rFonts w:hint="eastAsia" w:ascii="宋体" w:hAnsi="宋体" w:eastAsia="宋体" w:cs="Times New Roman"/>
          <w:color w:val="auto"/>
          <w:spacing w:val="-1"/>
          <w:kern w:val="0"/>
          <w:sz w:val="24"/>
          <w:szCs w:val="24"/>
        </w:rPr>
        <w:t>称</w:t>
      </w:r>
      <w:r>
        <w:rPr>
          <w:rFonts w:hint="eastAsia" w:ascii="宋体" w:hAnsi="宋体" w:eastAsia="宋体" w:cs="Times New Roman"/>
          <w:color w:val="auto"/>
          <w:spacing w:val="-13"/>
          <w:kern w:val="0"/>
          <w:sz w:val="24"/>
          <w:szCs w:val="24"/>
        </w:rPr>
        <w:t>）</w:t>
      </w:r>
      <w:r>
        <w:rPr>
          <w:rFonts w:hint="eastAsia" w:ascii="宋体" w:hAnsi="宋体" w:eastAsia="宋体" w:cs="Times New Roman"/>
          <w:color w:val="auto"/>
          <w:kern w:val="0"/>
          <w:sz w:val="24"/>
          <w:szCs w:val="24"/>
        </w:rPr>
        <w:t>投标文件</w:t>
      </w:r>
      <w:r>
        <w:rPr>
          <w:rFonts w:hint="eastAsia" w:ascii="宋体" w:hAnsi="宋体" w:eastAsia="宋体" w:cs="Times New Roman"/>
          <w:color w:val="auto"/>
          <w:spacing w:val="-13"/>
          <w:kern w:val="0"/>
          <w:sz w:val="24"/>
          <w:szCs w:val="24"/>
        </w:rPr>
        <w:t>、</w:t>
      </w:r>
      <w:r>
        <w:rPr>
          <w:rFonts w:hint="eastAsia" w:ascii="宋体" w:hAnsi="宋体" w:eastAsia="宋体" w:cs="Times New Roman"/>
          <w:color w:val="auto"/>
          <w:kern w:val="0"/>
          <w:sz w:val="24"/>
          <w:szCs w:val="24"/>
        </w:rPr>
        <w:t>签订合同和处理有关事宜，其法律后果由我方承担。</w:t>
      </w:r>
    </w:p>
    <w:p w14:paraId="23A3C541">
      <w:pPr>
        <w:keepNext w:val="0"/>
        <w:keepLines w:val="0"/>
        <w:pageBreakBefore w:val="0"/>
        <w:widowControl/>
        <w:kinsoku/>
        <w:wordWrap/>
        <w:overflowPunct/>
        <w:topLinePunct w:val="0"/>
        <w:autoSpaceDE/>
        <w:autoSpaceDN/>
        <w:bidi w:val="0"/>
        <w:adjustRightInd/>
        <w:snapToGrid/>
        <w:spacing w:before="12" w:line="400" w:lineRule="exact"/>
        <w:ind w:left="556" w:right="5491" w:hanging="14"/>
        <w:textAlignment w:val="auto"/>
        <w:outlineLvl w:val="9"/>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代理人无转委托权。</w:t>
      </w:r>
    </w:p>
    <w:p w14:paraId="24E72901">
      <w:pPr>
        <w:keepNext w:val="0"/>
        <w:keepLines w:val="0"/>
        <w:pageBreakBefore w:val="0"/>
        <w:kinsoku/>
        <w:wordWrap/>
        <w:overflowPunct/>
        <w:topLinePunct w:val="0"/>
        <w:autoSpaceDE/>
        <w:autoSpaceDN/>
        <w:bidi w:val="0"/>
        <w:adjustRightInd/>
        <w:snapToGrid/>
        <w:spacing w:line="400" w:lineRule="exact"/>
        <w:textAlignment w:val="auto"/>
        <w:outlineLvl w:val="9"/>
        <w:rPr>
          <w:rFonts w:ascii="宋体"/>
          <w:color w:val="auto"/>
          <w:sz w:val="24"/>
          <w:szCs w:val="24"/>
        </w:rPr>
      </w:pPr>
      <w:r>
        <w:rPr>
          <w:rFonts w:ascii="宋体" w:hAnsi="宋体"/>
          <w:color w:val="auto"/>
          <w:sz w:val="24"/>
          <w:szCs w:val="24"/>
        </w:rPr>
        <w:t xml:space="preserve">                                 </w:t>
      </w:r>
      <w:r>
        <w:rPr>
          <w:rFonts w:hint="eastAsia" w:ascii="宋体" w:hAnsi="宋体"/>
          <w:color w:val="auto"/>
          <w:sz w:val="24"/>
          <w:szCs w:val="24"/>
        </w:rPr>
        <w:t>法</w:t>
      </w:r>
      <w:r>
        <w:rPr>
          <w:rFonts w:hint="eastAsia" w:ascii="宋体" w:hAnsi="宋体"/>
          <w:color w:val="auto"/>
          <w:sz w:val="24"/>
          <w:szCs w:val="24"/>
          <w:lang w:eastAsia="zh-CN"/>
        </w:rPr>
        <w:t>定</w:t>
      </w:r>
      <w:r>
        <w:rPr>
          <w:rFonts w:hint="eastAsia" w:ascii="宋体" w:hAnsi="宋体"/>
          <w:color w:val="auto"/>
          <w:sz w:val="24"/>
          <w:szCs w:val="24"/>
        </w:rPr>
        <w:t>代表人</w:t>
      </w:r>
      <w:r>
        <w:rPr>
          <w:rFonts w:hint="eastAsia" w:ascii="宋体" w:hAnsi="宋体"/>
          <w:color w:val="auto"/>
          <w:sz w:val="24"/>
          <w:szCs w:val="24"/>
          <w:lang w:eastAsia="zh-CN"/>
        </w:rPr>
        <w:t>（单位负责人）</w:t>
      </w:r>
      <w:r>
        <w:rPr>
          <w:rFonts w:hint="eastAsia" w:ascii="宋体" w:hAnsi="宋体"/>
          <w:color w:val="auto"/>
          <w:sz w:val="24"/>
          <w:szCs w:val="24"/>
        </w:rPr>
        <w:t>：（签字或盖章）：</w:t>
      </w:r>
    </w:p>
    <w:p w14:paraId="648A0C08">
      <w:pPr>
        <w:keepNext w:val="0"/>
        <w:keepLines w:val="0"/>
        <w:pageBreakBefore w:val="0"/>
        <w:kinsoku/>
        <w:wordWrap/>
        <w:overflowPunct/>
        <w:topLinePunct w:val="0"/>
        <w:autoSpaceDE/>
        <w:autoSpaceDN/>
        <w:bidi w:val="0"/>
        <w:adjustRightInd/>
        <w:snapToGrid/>
        <w:spacing w:line="400" w:lineRule="exact"/>
        <w:textAlignment w:val="auto"/>
        <w:outlineLvl w:val="9"/>
        <w:rPr>
          <w:rFonts w:ascii="宋体"/>
          <w:color w:val="auto"/>
          <w:sz w:val="24"/>
          <w:szCs w:val="24"/>
        </w:rPr>
      </w:pPr>
      <w:r>
        <w:rPr>
          <w:rFonts w:ascii="宋体" w:hAnsi="宋体"/>
          <w:color w:val="auto"/>
          <w:sz w:val="24"/>
          <w:szCs w:val="24"/>
        </w:rPr>
        <w:t xml:space="preserve">                                 </w:t>
      </w:r>
      <w:r>
        <w:rPr>
          <w:rFonts w:hint="eastAsia" w:ascii="宋体" w:hAnsi="宋体"/>
          <w:color w:val="auto"/>
          <w:sz w:val="24"/>
          <w:szCs w:val="24"/>
        </w:rPr>
        <w:t>供应商名称（公章）：</w:t>
      </w:r>
    </w:p>
    <w:p w14:paraId="5158AC02">
      <w:pPr>
        <w:keepNext w:val="0"/>
        <w:keepLines w:val="0"/>
        <w:pageBreakBefore w:val="0"/>
        <w:kinsoku/>
        <w:wordWrap/>
        <w:overflowPunct/>
        <w:topLinePunct w:val="0"/>
        <w:autoSpaceDE/>
        <w:autoSpaceDN/>
        <w:bidi w:val="0"/>
        <w:adjustRightInd/>
        <w:snapToGrid/>
        <w:spacing w:line="400" w:lineRule="exact"/>
        <w:textAlignment w:val="auto"/>
        <w:outlineLvl w:val="9"/>
        <w:rPr>
          <w:rFonts w:ascii="宋体"/>
          <w:color w:val="auto"/>
          <w:sz w:val="24"/>
          <w:szCs w:val="24"/>
        </w:rPr>
      </w:pPr>
      <w:r>
        <w:rPr>
          <w:rFonts w:ascii="宋体" w:hAnsi="宋体"/>
          <w:color w:val="auto"/>
          <w:sz w:val="24"/>
          <w:szCs w:val="24"/>
        </w:rPr>
        <w:t xml:space="preserve">                                 </w:t>
      </w:r>
      <w:r>
        <w:rPr>
          <w:rFonts w:hint="eastAsia" w:ascii="宋体" w:hAnsi="宋体"/>
          <w:color w:val="auto"/>
          <w:sz w:val="24"/>
          <w:szCs w:val="24"/>
        </w:rPr>
        <w:t>日期：</w:t>
      </w:r>
    </w:p>
    <w:p w14:paraId="01DF1969">
      <w:pPr>
        <w:keepNext w:val="0"/>
        <w:keepLines w:val="0"/>
        <w:pageBreakBefore w:val="0"/>
        <w:kinsoku/>
        <w:wordWrap/>
        <w:overflowPunct/>
        <w:topLinePunct w:val="0"/>
        <w:autoSpaceDE/>
        <w:autoSpaceDN/>
        <w:bidi w:val="0"/>
        <w:adjustRightInd/>
        <w:snapToGrid/>
        <w:spacing w:line="400" w:lineRule="exact"/>
        <w:textAlignment w:val="auto"/>
        <w:outlineLvl w:val="9"/>
        <w:rPr>
          <w:rFonts w:ascii="宋体"/>
          <w:color w:val="auto"/>
          <w:sz w:val="24"/>
          <w:szCs w:val="24"/>
        </w:rPr>
      </w:pPr>
      <w:r>
        <w:rPr>
          <w:rFonts w:hint="eastAsia" w:ascii="宋体" w:hAnsi="宋体"/>
          <w:color w:val="auto"/>
          <w:sz w:val="24"/>
          <w:szCs w:val="24"/>
        </w:rPr>
        <w:t>附：委托代理人身份证正反面复印件或扫描件</w:t>
      </w:r>
    </w:p>
    <w:p w14:paraId="7CF9F500">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eastAsiaTheme="minorEastAsia"/>
          <w:color w:val="auto"/>
          <w:sz w:val="24"/>
          <w:szCs w:val="24"/>
          <w:lang w:val="en-US" w:eastAsia="zh-CN"/>
        </w:rPr>
      </w:pPr>
      <w:r>
        <w:rPr>
          <w:rFonts w:hint="eastAsia" w:ascii="宋体"/>
          <w:color w:val="auto"/>
          <w:sz w:val="24"/>
          <w:szCs w:val="24"/>
          <w:lang w:val="en-US" w:eastAsia="zh-CN"/>
        </w:rPr>
        <w:t xml:space="preserve">    </w:t>
      </w:r>
    </w:p>
    <w:p w14:paraId="6E2ACA74">
      <w:pPr>
        <w:keepNext w:val="0"/>
        <w:keepLines w:val="0"/>
        <w:pageBreakBefore w:val="0"/>
        <w:kinsoku/>
        <w:wordWrap/>
        <w:overflowPunct/>
        <w:topLinePunct w:val="0"/>
        <w:autoSpaceDE/>
        <w:autoSpaceDN/>
        <w:bidi w:val="0"/>
        <w:adjustRightInd/>
        <w:snapToGrid/>
        <w:spacing w:line="400" w:lineRule="exact"/>
        <w:ind w:firstLine="2530" w:firstLineChars="900"/>
        <w:textAlignment w:val="auto"/>
        <w:outlineLvl w:val="9"/>
        <w:rPr>
          <w:rFonts w:ascii="宋体" w:cs="宋体"/>
          <w:b/>
          <w:color w:val="auto"/>
          <w:sz w:val="28"/>
          <w:szCs w:val="28"/>
        </w:rPr>
      </w:pPr>
      <w:r>
        <w:rPr>
          <w:rFonts w:hint="eastAsia" w:ascii="宋体" w:hAnsi="宋体" w:eastAsia="宋体" w:cs="Times New Roman"/>
          <w:b/>
          <w:color w:val="auto"/>
          <w:kern w:val="0"/>
          <w:sz w:val="28"/>
          <w:szCs w:val="28"/>
        </w:rPr>
        <w:t>法定代表人（单位负责人）身份证明</w:t>
      </w:r>
    </w:p>
    <w:p w14:paraId="61690937">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ascii="宋体"/>
          <w:color w:val="auto"/>
          <w:sz w:val="24"/>
          <w:u w:val="single"/>
        </w:rPr>
      </w:pPr>
      <w:r>
        <w:rPr>
          <w:rFonts w:hint="eastAsia" w:ascii="宋体" w:hAnsi="宋体"/>
          <w:color w:val="auto"/>
          <w:sz w:val="24"/>
        </w:rPr>
        <w:t>单位名称：</w:t>
      </w:r>
      <w:r>
        <w:rPr>
          <w:rFonts w:hint="eastAsia" w:ascii="宋体" w:hAnsi="宋体"/>
          <w:color w:val="auto"/>
          <w:sz w:val="24"/>
          <w:u w:val="single"/>
          <w:lang w:val="en-US" w:eastAsia="zh-CN"/>
        </w:rPr>
        <w:t xml:space="preserve">  </w:t>
      </w:r>
      <w:r>
        <w:rPr>
          <w:rFonts w:ascii="宋体" w:hAnsi="宋体"/>
          <w:color w:val="auto"/>
          <w:sz w:val="24"/>
          <w:u w:val="single"/>
        </w:rPr>
        <w:t xml:space="preserve">                                           </w:t>
      </w:r>
    </w:p>
    <w:p w14:paraId="7CCE823F">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ascii="宋体"/>
          <w:color w:val="auto"/>
          <w:sz w:val="24"/>
          <w:u w:val="single"/>
        </w:rPr>
      </w:pPr>
      <w:r>
        <w:rPr>
          <w:rFonts w:hint="eastAsia" w:ascii="宋体" w:hAnsi="宋体"/>
          <w:color w:val="auto"/>
          <w:sz w:val="24"/>
        </w:rPr>
        <w:t>单位性质：</w:t>
      </w:r>
      <w:r>
        <w:rPr>
          <w:rFonts w:ascii="宋体" w:hAnsi="宋体"/>
          <w:color w:val="auto"/>
          <w:sz w:val="24"/>
          <w:u w:val="single"/>
        </w:rPr>
        <w:t xml:space="preserve">                                           </w:t>
      </w:r>
    </w:p>
    <w:p w14:paraId="4E77016D">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ascii="宋体"/>
          <w:color w:val="auto"/>
          <w:sz w:val="24"/>
          <w:u w:val="single"/>
        </w:rPr>
      </w:pPr>
      <w:r>
        <w:rPr>
          <w:rFonts w:hint="eastAsia" w:ascii="宋体" w:hAnsi="宋体"/>
          <w:color w:val="auto"/>
          <w:sz w:val="24"/>
        </w:rPr>
        <w:t>地</w:t>
      </w:r>
      <w:r>
        <w:rPr>
          <w:rFonts w:ascii="宋体" w:hAnsi="宋体"/>
          <w:color w:val="auto"/>
          <w:sz w:val="24"/>
        </w:rPr>
        <w:t xml:space="preserve">    </w:t>
      </w:r>
      <w:r>
        <w:rPr>
          <w:rFonts w:hint="eastAsia" w:ascii="宋体" w:hAnsi="宋体"/>
          <w:color w:val="auto"/>
          <w:sz w:val="24"/>
        </w:rPr>
        <w:t>址：</w:t>
      </w:r>
      <w:r>
        <w:rPr>
          <w:rFonts w:ascii="宋体" w:hAnsi="宋体"/>
          <w:color w:val="auto"/>
          <w:sz w:val="24"/>
          <w:u w:val="single"/>
        </w:rPr>
        <w:t xml:space="preserve">                                           </w:t>
      </w:r>
    </w:p>
    <w:p w14:paraId="4CC59AD3">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ascii="宋体"/>
          <w:color w:val="auto"/>
          <w:sz w:val="24"/>
        </w:rPr>
      </w:pPr>
      <w:r>
        <w:rPr>
          <w:rFonts w:hint="eastAsia" w:ascii="宋体" w:hAnsi="宋体"/>
          <w:color w:val="auto"/>
          <w:sz w:val="24"/>
        </w:rPr>
        <w:t>成立时间：</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年</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日</w:t>
      </w:r>
    </w:p>
    <w:p w14:paraId="6D90F7DF">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ascii="宋体"/>
          <w:color w:val="auto"/>
          <w:sz w:val="24"/>
          <w:u w:val="single"/>
        </w:rPr>
      </w:pPr>
      <w:r>
        <w:rPr>
          <w:rFonts w:hint="eastAsia" w:ascii="宋体" w:hAnsi="宋体"/>
          <w:color w:val="auto"/>
          <w:sz w:val="24"/>
        </w:rPr>
        <w:t>经营期限：</w:t>
      </w:r>
      <w:r>
        <w:rPr>
          <w:rFonts w:ascii="宋体" w:hAnsi="宋体"/>
          <w:color w:val="auto"/>
          <w:sz w:val="24"/>
          <w:u w:val="single"/>
        </w:rPr>
        <w:t xml:space="preserve">                                           </w:t>
      </w:r>
    </w:p>
    <w:p w14:paraId="5CE6FAFF">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ascii="宋体"/>
          <w:color w:val="auto"/>
          <w:sz w:val="24"/>
          <w:u w:val="single"/>
        </w:rPr>
      </w:pPr>
      <w:r>
        <w:rPr>
          <w:rFonts w:hint="eastAsia" w:ascii="宋体" w:hAnsi="宋体"/>
          <w:color w:val="auto"/>
          <w:sz w:val="24"/>
        </w:rPr>
        <w:t>姓</w:t>
      </w:r>
      <w:r>
        <w:rPr>
          <w:rFonts w:ascii="宋体" w:hAnsi="宋体"/>
          <w:color w:val="auto"/>
          <w:sz w:val="24"/>
        </w:rPr>
        <w:t xml:space="preserve">    </w:t>
      </w:r>
      <w:r>
        <w:rPr>
          <w:rFonts w:hint="eastAsia" w:ascii="宋体" w:hAnsi="宋体"/>
          <w:color w:val="auto"/>
          <w:sz w:val="24"/>
        </w:rPr>
        <w:t>名：</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性别：</w:t>
      </w:r>
      <w:r>
        <w:rPr>
          <w:rFonts w:ascii="宋体" w:hAnsi="宋体"/>
          <w:color w:val="auto"/>
          <w:sz w:val="24"/>
        </w:rPr>
        <w:t xml:space="preserve"> </w:t>
      </w:r>
      <w:r>
        <w:rPr>
          <w:rFonts w:ascii="宋体" w:hAnsi="宋体"/>
          <w:color w:val="auto"/>
          <w:sz w:val="24"/>
          <w:u w:val="single"/>
        </w:rPr>
        <w:t xml:space="preserve">                   </w:t>
      </w:r>
    </w:p>
    <w:p w14:paraId="083A3D83">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ascii="宋体"/>
          <w:color w:val="auto"/>
          <w:sz w:val="24"/>
          <w:u w:val="single"/>
        </w:rPr>
      </w:pP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龄：</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职务：</w:t>
      </w:r>
      <w:r>
        <w:rPr>
          <w:rFonts w:ascii="宋体" w:hAnsi="宋体"/>
          <w:color w:val="auto"/>
          <w:sz w:val="24"/>
        </w:rPr>
        <w:t xml:space="preserve"> </w:t>
      </w:r>
      <w:r>
        <w:rPr>
          <w:rFonts w:ascii="宋体" w:hAnsi="宋体"/>
          <w:color w:val="auto"/>
          <w:sz w:val="24"/>
          <w:u w:val="single"/>
        </w:rPr>
        <w:t xml:space="preserve">                   </w:t>
      </w:r>
    </w:p>
    <w:p w14:paraId="20956BD8">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ascii="宋体"/>
          <w:color w:val="auto"/>
          <w:sz w:val="24"/>
        </w:rPr>
      </w:pPr>
      <w:r>
        <w:rPr>
          <w:rFonts w:hint="eastAsia" w:ascii="宋体" w:hAnsi="宋体"/>
          <w:color w:val="auto"/>
          <w:sz w:val="24"/>
        </w:rPr>
        <w:t>系</w:t>
      </w:r>
      <w:r>
        <w:rPr>
          <w:rFonts w:ascii="宋体" w:hAnsi="宋体"/>
          <w:color w:val="auto"/>
          <w:sz w:val="24"/>
          <w:u w:val="single"/>
        </w:rPr>
        <w:t xml:space="preserve">          </w:t>
      </w:r>
      <w:r>
        <w:rPr>
          <w:rFonts w:hint="eastAsia" w:ascii="宋体" w:hAnsi="宋体"/>
          <w:color w:val="auto"/>
          <w:sz w:val="24"/>
          <w:u w:val="single"/>
        </w:rPr>
        <w:t>（供应商单位名称）</w:t>
      </w:r>
      <w:r>
        <w:rPr>
          <w:rFonts w:hint="eastAsia" w:ascii="宋体" w:hAnsi="宋体"/>
          <w:color w:val="auto"/>
          <w:sz w:val="24"/>
          <w:u w:val="single"/>
          <w:lang w:val="en-US" w:eastAsia="zh-CN"/>
        </w:rPr>
        <w:t xml:space="preserve"> </w:t>
      </w:r>
      <w:r>
        <w:rPr>
          <w:rFonts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szCs w:val="24"/>
        </w:rPr>
        <w:t>法</w:t>
      </w:r>
      <w:r>
        <w:rPr>
          <w:rFonts w:hint="eastAsia" w:ascii="宋体" w:hAnsi="宋体"/>
          <w:color w:val="auto"/>
          <w:sz w:val="24"/>
          <w:szCs w:val="24"/>
          <w:lang w:eastAsia="zh-CN"/>
        </w:rPr>
        <w:t>定</w:t>
      </w:r>
      <w:r>
        <w:rPr>
          <w:rFonts w:hint="eastAsia" w:ascii="宋体" w:hAnsi="宋体"/>
          <w:color w:val="auto"/>
          <w:sz w:val="24"/>
          <w:szCs w:val="24"/>
        </w:rPr>
        <w:t>代表人</w:t>
      </w:r>
      <w:r>
        <w:rPr>
          <w:rFonts w:hint="eastAsia" w:ascii="宋体" w:hAnsi="宋体"/>
          <w:color w:val="auto"/>
          <w:sz w:val="24"/>
          <w:szCs w:val="24"/>
          <w:lang w:eastAsia="zh-CN"/>
        </w:rPr>
        <w:t>（单位负责人）</w:t>
      </w:r>
    </w:p>
    <w:p w14:paraId="4A2DE85F">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ascii="宋体"/>
          <w:color w:val="auto"/>
          <w:sz w:val="24"/>
        </w:rPr>
      </w:pPr>
      <w:r>
        <w:rPr>
          <w:rFonts w:hint="eastAsia" w:ascii="宋体" w:hAnsi="宋体"/>
          <w:color w:val="auto"/>
          <w:sz w:val="24"/>
        </w:rPr>
        <w:t>特此证明。</w:t>
      </w:r>
    </w:p>
    <w:p w14:paraId="4058B8FC">
      <w:pPr>
        <w:keepNext w:val="0"/>
        <w:keepLines w:val="0"/>
        <w:pageBreakBefore w:val="0"/>
        <w:kinsoku/>
        <w:wordWrap/>
        <w:overflowPunct/>
        <w:topLinePunct w:val="0"/>
        <w:autoSpaceDE/>
        <w:autoSpaceDN/>
        <w:bidi w:val="0"/>
        <w:adjustRightInd/>
        <w:snapToGrid/>
        <w:spacing w:line="400" w:lineRule="exact"/>
        <w:ind w:right="480"/>
        <w:textAlignment w:val="auto"/>
        <w:outlineLvl w:val="9"/>
        <w:rPr>
          <w:rFonts w:ascii="宋体"/>
          <w:color w:val="auto"/>
          <w:sz w:val="24"/>
        </w:rPr>
      </w:pPr>
      <w:r>
        <w:rPr>
          <w:rFonts w:ascii="宋体" w:hAnsi="宋体"/>
          <w:color w:val="auto"/>
          <w:sz w:val="24"/>
        </w:rPr>
        <w:t xml:space="preserve">               </w:t>
      </w:r>
      <w:r>
        <w:rPr>
          <w:rFonts w:hint="eastAsia" w:ascii="宋体" w:hAnsi="宋体"/>
          <w:color w:val="auto"/>
          <w:sz w:val="24"/>
        </w:rPr>
        <w:t>供应商：</w:t>
      </w:r>
      <w:r>
        <w:rPr>
          <w:rFonts w:ascii="宋体" w:hAnsi="宋体"/>
          <w:color w:val="auto"/>
          <w:sz w:val="24"/>
          <w:u w:val="single"/>
        </w:rPr>
        <w:t xml:space="preserve">             </w:t>
      </w:r>
      <w:r>
        <w:rPr>
          <w:rFonts w:hint="eastAsia" w:ascii="宋体" w:hAnsi="宋体"/>
          <w:color w:val="auto"/>
          <w:sz w:val="24"/>
          <w:u w:val="single"/>
        </w:rPr>
        <w:t>（盖公章）</w:t>
      </w:r>
    </w:p>
    <w:p w14:paraId="24FF5060">
      <w:pPr>
        <w:keepNext w:val="0"/>
        <w:keepLines w:val="0"/>
        <w:pageBreakBefore w:val="0"/>
        <w:kinsoku/>
        <w:wordWrap/>
        <w:overflowPunct/>
        <w:topLinePunct w:val="0"/>
        <w:autoSpaceDE/>
        <w:autoSpaceDN/>
        <w:bidi w:val="0"/>
        <w:adjustRightInd/>
        <w:snapToGrid/>
        <w:spacing w:line="400" w:lineRule="exact"/>
        <w:textAlignment w:val="auto"/>
        <w:outlineLvl w:val="9"/>
        <w:rPr>
          <w:rFonts w:ascii="宋体"/>
          <w:color w:val="auto"/>
          <w:sz w:val="24"/>
        </w:rPr>
      </w:pPr>
      <w:r>
        <w:rPr>
          <w:rFonts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日</w:t>
      </w:r>
      <w:r>
        <w:rPr>
          <w:rFonts w:ascii="宋体" w:hAnsi="宋体"/>
          <w:color w:val="auto"/>
          <w:sz w:val="24"/>
        </w:rPr>
        <w:t xml:space="preserve">  </w:t>
      </w:r>
      <w:r>
        <w:rPr>
          <w:rFonts w:hint="eastAsia" w:ascii="宋体" w:hAnsi="宋体"/>
          <w:color w:val="auto"/>
          <w:sz w:val="24"/>
        </w:rPr>
        <w:t>期：</w:t>
      </w: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w:t>
      </w:r>
    </w:p>
    <w:p w14:paraId="26A34637">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auto"/>
          <w:sz w:val="24"/>
          <w:szCs w:val="24"/>
        </w:rPr>
      </w:pPr>
      <w:r>
        <w:rPr>
          <w:rFonts w:hint="eastAsia"/>
          <w:color w:val="auto"/>
          <w:sz w:val="24"/>
          <w:szCs w:val="24"/>
        </w:rPr>
        <w:t>附：</w:t>
      </w:r>
      <w:r>
        <w:rPr>
          <w:rFonts w:hint="eastAsia" w:ascii="宋体" w:hAnsi="宋体"/>
          <w:color w:val="auto"/>
          <w:sz w:val="24"/>
          <w:szCs w:val="24"/>
        </w:rPr>
        <w:t>法定代表人</w:t>
      </w:r>
      <w:r>
        <w:rPr>
          <w:rFonts w:hint="eastAsia" w:ascii="宋体" w:hAnsi="宋体"/>
          <w:color w:val="auto"/>
          <w:sz w:val="24"/>
          <w:szCs w:val="24"/>
          <w:lang w:val="en-US" w:eastAsia="zh-CN"/>
        </w:rPr>
        <w:t>(单位负责人）</w:t>
      </w:r>
      <w:r>
        <w:rPr>
          <w:rFonts w:hint="eastAsia" w:ascii="宋体" w:hAnsi="宋体"/>
          <w:color w:val="auto"/>
          <w:sz w:val="24"/>
          <w:szCs w:val="24"/>
        </w:rPr>
        <w:t>身份证正反面复印件或扫描件</w:t>
      </w:r>
    </w:p>
    <w:p w14:paraId="13D8F1C9">
      <w:pPr>
        <w:pStyle w:val="10"/>
        <w:snapToGrid w:val="0"/>
        <w:spacing w:line="420" w:lineRule="atLeast"/>
        <w:ind w:firstLine="3922" w:firstLineChars="1400"/>
        <w:jc w:val="both"/>
        <w:rPr>
          <w:rFonts w:hint="eastAsia" w:ascii="宋体" w:hAnsi="宋体"/>
          <w:b/>
          <w:color w:val="auto"/>
          <w:sz w:val="28"/>
          <w:szCs w:val="28"/>
        </w:rPr>
      </w:pPr>
    </w:p>
    <w:p w14:paraId="2F74651A">
      <w:pPr>
        <w:pStyle w:val="10"/>
        <w:snapToGrid w:val="0"/>
        <w:spacing w:line="420" w:lineRule="atLeast"/>
        <w:ind w:firstLine="3922" w:firstLineChars="1400"/>
        <w:jc w:val="both"/>
        <w:rPr>
          <w:rFonts w:hint="eastAsia" w:ascii="宋体" w:hAnsi="宋体"/>
          <w:b/>
          <w:color w:val="auto"/>
          <w:sz w:val="28"/>
          <w:szCs w:val="28"/>
        </w:rPr>
      </w:pPr>
    </w:p>
    <w:p w14:paraId="7FAABF70">
      <w:pPr>
        <w:pStyle w:val="10"/>
        <w:snapToGrid w:val="0"/>
        <w:spacing w:line="420" w:lineRule="atLeast"/>
        <w:ind w:firstLine="3922" w:firstLineChars="1400"/>
        <w:jc w:val="both"/>
        <w:rPr>
          <w:rFonts w:hint="eastAsia" w:ascii="宋体" w:hAnsi="宋体"/>
          <w:b/>
          <w:color w:val="auto"/>
          <w:sz w:val="28"/>
          <w:szCs w:val="28"/>
        </w:rPr>
      </w:pPr>
    </w:p>
    <w:p w14:paraId="66032FB4">
      <w:pPr>
        <w:pStyle w:val="10"/>
        <w:snapToGrid w:val="0"/>
        <w:spacing w:line="420" w:lineRule="atLeast"/>
        <w:ind w:firstLine="3922" w:firstLineChars="1400"/>
        <w:jc w:val="both"/>
        <w:rPr>
          <w:rFonts w:hint="eastAsia" w:ascii="宋体" w:hAnsi="宋体"/>
          <w:b/>
          <w:color w:val="auto"/>
          <w:sz w:val="28"/>
          <w:szCs w:val="28"/>
        </w:rPr>
      </w:pPr>
    </w:p>
    <w:p w14:paraId="60777D3D">
      <w:pPr>
        <w:pStyle w:val="10"/>
        <w:snapToGrid w:val="0"/>
        <w:spacing w:line="420" w:lineRule="atLeast"/>
        <w:ind w:firstLine="3922" w:firstLineChars="1400"/>
        <w:jc w:val="both"/>
        <w:rPr>
          <w:rFonts w:hint="eastAsia" w:ascii="宋体" w:hAnsi="宋体"/>
          <w:b/>
          <w:color w:val="auto"/>
          <w:sz w:val="28"/>
          <w:szCs w:val="28"/>
        </w:rPr>
      </w:pPr>
    </w:p>
    <w:p w14:paraId="2C4CC511">
      <w:pPr>
        <w:pStyle w:val="10"/>
        <w:snapToGrid w:val="0"/>
        <w:spacing w:line="420" w:lineRule="atLeast"/>
        <w:ind w:firstLine="3922" w:firstLineChars="1400"/>
        <w:jc w:val="both"/>
        <w:rPr>
          <w:rFonts w:hint="eastAsia" w:ascii="宋体" w:hAnsi="宋体"/>
          <w:b/>
          <w:color w:val="auto"/>
          <w:sz w:val="28"/>
          <w:szCs w:val="28"/>
        </w:rPr>
      </w:pPr>
    </w:p>
    <w:p w14:paraId="772EFCB4">
      <w:pPr>
        <w:pStyle w:val="10"/>
        <w:snapToGrid w:val="0"/>
        <w:spacing w:line="420" w:lineRule="atLeast"/>
        <w:ind w:firstLine="3922" w:firstLineChars="1400"/>
        <w:jc w:val="both"/>
        <w:rPr>
          <w:rFonts w:hint="eastAsia" w:ascii="宋体" w:hAnsi="宋体"/>
          <w:b/>
          <w:color w:val="auto"/>
          <w:sz w:val="28"/>
          <w:szCs w:val="28"/>
        </w:rPr>
      </w:pPr>
    </w:p>
    <w:p w14:paraId="1B60C6C9">
      <w:pPr>
        <w:pStyle w:val="10"/>
        <w:snapToGrid w:val="0"/>
        <w:spacing w:line="420" w:lineRule="atLeast"/>
        <w:ind w:firstLine="3922" w:firstLineChars="1400"/>
        <w:jc w:val="both"/>
        <w:rPr>
          <w:rFonts w:hint="eastAsia" w:ascii="宋体" w:hAnsi="宋体"/>
          <w:b/>
          <w:color w:val="auto"/>
          <w:sz w:val="28"/>
          <w:szCs w:val="28"/>
        </w:rPr>
      </w:pPr>
    </w:p>
    <w:p w14:paraId="14A8F425">
      <w:pPr>
        <w:pStyle w:val="10"/>
        <w:snapToGrid w:val="0"/>
        <w:spacing w:line="420" w:lineRule="atLeast"/>
        <w:ind w:firstLine="3922" w:firstLineChars="1400"/>
        <w:jc w:val="both"/>
        <w:rPr>
          <w:rFonts w:hint="eastAsia" w:ascii="宋体" w:hAnsi="宋体"/>
          <w:b/>
          <w:color w:val="auto"/>
          <w:sz w:val="28"/>
          <w:szCs w:val="28"/>
        </w:rPr>
      </w:pPr>
    </w:p>
    <w:p w14:paraId="62631650">
      <w:pPr>
        <w:pStyle w:val="10"/>
        <w:snapToGrid w:val="0"/>
        <w:spacing w:line="420" w:lineRule="atLeast"/>
        <w:ind w:firstLine="3922" w:firstLineChars="1400"/>
        <w:jc w:val="both"/>
        <w:rPr>
          <w:rFonts w:hint="eastAsia" w:ascii="宋体" w:hAnsi="宋体"/>
          <w:b/>
          <w:color w:val="auto"/>
          <w:sz w:val="28"/>
          <w:szCs w:val="28"/>
        </w:rPr>
      </w:pPr>
    </w:p>
    <w:p w14:paraId="2CF5F8F6">
      <w:pPr>
        <w:pStyle w:val="10"/>
        <w:snapToGrid w:val="0"/>
        <w:spacing w:line="420" w:lineRule="atLeast"/>
        <w:ind w:firstLine="3922" w:firstLineChars="1400"/>
        <w:jc w:val="both"/>
        <w:rPr>
          <w:rFonts w:ascii="宋体"/>
          <w:b/>
          <w:bCs/>
          <w:color w:val="auto"/>
          <w:sz w:val="28"/>
          <w:szCs w:val="28"/>
        </w:rPr>
      </w:pPr>
      <w:r>
        <w:rPr>
          <w:rFonts w:hint="eastAsia" w:ascii="宋体" w:hAnsi="宋体"/>
          <w:b/>
          <w:color w:val="auto"/>
          <w:sz w:val="28"/>
          <w:szCs w:val="28"/>
        </w:rPr>
        <w:t>格式</w:t>
      </w:r>
      <w:r>
        <w:rPr>
          <w:rFonts w:hint="eastAsia" w:ascii="宋体" w:hAnsi="宋体" w:eastAsia="宋体"/>
          <w:b/>
          <w:color w:val="auto"/>
          <w:sz w:val="28"/>
          <w:szCs w:val="28"/>
          <w:lang w:val="en-US" w:eastAsia="zh-CN"/>
        </w:rPr>
        <w:t>4</w:t>
      </w:r>
      <w:r>
        <w:rPr>
          <w:rFonts w:hint="eastAsia" w:ascii="宋体" w:hAnsi="宋体"/>
          <w:b/>
          <w:color w:val="auto"/>
          <w:sz w:val="28"/>
          <w:szCs w:val="28"/>
        </w:rPr>
        <w:t>、</w:t>
      </w:r>
      <w:r>
        <w:rPr>
          <w:rFonts w:hint="eastAsia" w:ascii="宋体"/>
          <w:b/>
          <w:bCs/>
          <w:color w:val="auto"/>
          <w:sz w:val="28"/>
          <w:szCs w:val="28"/>
          <w:lang w:val="zh-CN"/>
        </w:rPr>
        <w:t>分项报价表</w:t>
      </w:r>
    </w:p>
    <w:p w14:paraId="3B13D298">
      <w:pPr>
        <w:keepNext w:val="0"/>
        <w:keepLines w:val="0"/>
        <w:pageBreakBefore w:val="0"/>
        <w:widowControl w:val="0"/>
        <w:kinsoku/>
        <w:wordWrap/>
        <w:overflowPunct/>
        <w:topLinePunct w:val="0"/>
        <w:autoSpaceDE/>
        <w:autoSpaceDN/>
        <w:bidi w:val="0"/>
        <w:spacing w:before="40" w:after="40" w:line="400" w:lineRule="exact"/>
        <w:jc w:val="left"/>
        <w:textAlignment w:val="auto"/>
        <w:outlineLvl w:val="9"/>
        <w:rPr>
          <w:rFonts w:ascii="宋体" w:hAnsi="宋体" w:cs="宋体"/>
          <w:b/>
          <w:color w:val="auto"/>
          <w:sz w:val="24"/>
          <w:szCs w:val="24"/>
        </w:rPr>
      </w:pPr>
      <w:r>
        <w:rPr>
          <w:rFonts w:hint="eastAsia" w:ascii="宋体" w:hAnsi="宋体" w:cs="宋体"/>
          <w:color w:val="auto"/>
          <w:sz w:val="24"/>
          <w:szCs w:val="24"/>
        </w:rPr>
        <w:t>项目编号：</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货币单位：</w:t>
      </w:r>
      <w:r>
        <w:rPr>
          <w:rFonts w:hint="eastAsia" w:ascii="宋体" w:hAnsi="宋体" w:cs="宋体"/>
          <w:color w:val="auto"/>
          <w:sz w:val="24"/>
          <w:szCs w:val="24"/>
          <w:u w:val="single"/>
        </w:rPr>
        <w:t xml:space="preserve"> 元  </w:t>
      </w:r>
      <w:r>
        <w:rPr>
          <w:rFonts w:hint="eastAsia" w:ascii="宋体" w:hAnsi="宋体" w:cs="宋体"/>
          <w:color w:val="auto"/>
          <w:sz w:val="24"/>
          <w:szCs w:val="24"/>
        </w:rPr>
        <w:t xml:space="preserve">  </w:t>
      </w:r>
    </w:p>
    <w:tbl>
      <w:tblPr>
        <w:tblStyle w:val="15"/>
        <w:tblW w:w="10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869"/>
        <w:gridCol w:w="975"/>
        <w:gridCol w:w="1170"/>
        <w:gridCol w:w="1359"/>
        <w:gridCol w:w="1230"/>
        <w:gridCol w:w="1611"/>
      </w:tblGrid>
      <w:tr w14:paraId="61BF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4BB9BEF4">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r>
              <w:rPr>
                <w:rFonts w:hint="eastAsia" w:ascii="宋体" w:hAnsi="宋体" w:cs="宋体"/>
                <w:color w:val="auto"/>
                <w:sz w:val="24"/>
                <w:szCs w:val="24"/>
              </w:rPr>
              <w:t>序号</w:t>
            </w:r>
          </w:p>
        </w:tc>
        <w:tc>
          <w:tcPr>
            <w:tcW w:w="2869" w:type="dxa"/>
          </w:tcPr>
          <w:p w14:paraId="5690B95E">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rPr>
              <w:t>名称</w:t>
            </w:r>
          </w:p>
        </w:tc>
        <w:tc>
          <w:tcPr>
            <w:tcW w:w="975" w:type="dxa"/>
          </w:tcPr>
          <w:p w14:paraId="341DF29A">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r>
              <w:rPr>
                <w:rFonts w:hint="eastAsia" w:ascii="宋体" w:hAnsi="宋体" w:cs="宋体"/>
                <w:color w:val="auto"/>
                <w:sz w:val="24"/>
                <w:szCs w:val="24"/>
              </w:rPr>
              <w:t>数量</w:t>
            </w:r>
          </w:p>
        </w:tc>
        <w:tc>
          <w:tcPr>
            <w:tcW w:w="1170" w:type="dxa"/>
          </w:tcPr>
          <w:p w14:paraId="75586E88">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r>
              <w:rPr>
                <w:rFonts w:hint="eastAsia" w:ascii="宋体" w:hAnsi="宋体" w:cs="宋体"/>
                <w:color w:val="auto"/>
                <w:sz w:val="24"/>
                <w:szCs w:val="24"/>
              </w:rPr>
              <w:t>单位</w:t>
            </w:r>
          </w:p>
        </w:tc>
        <w:tc>
          <w:tcPr>
            <w:tcW w:w="1359" w:type="dxa"/>
          </w:tcPr>
          <w:p w14:paraId="26A14D21">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r>
              <w:rPr>
                <w:rFonts w:hint="eastAsia" w:ascii="宋体" w:hAnsi="宋体" w:cs="宋体"/>
                <w:color w:val="auto"/>
                <w:sz w:val="24"/>
                <w:szCs w:val="24"/>
              </w:rPr>
              <w:t>分项单价</w:t>
            </w:r>
          </w:p>
        </w:tc>
        <w:tc>
          <w:tcPr>
            <w:tcW w:w="1230" w:type="dxa"/>
          </w:tcPr>
          <w:p w14:paraId="5E376766">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r>
              <w:rPr>
                <w:rFonts w:hint="eastAsia" w:ascii="宋体" w:hAnsi="宋体" w:cs="宋体"/>
                <w:color w:val="auto"/>
                <w:sz w:val="24"/>
                <w:szCs w:val="24"/>
              </w:rPr>
              <w:t>分项合计</w:t>
            </w:r>
          </w:p>
        </w:tc>
        <w:tc>
          <w:tcPr>
            <w:tcW w:w="1611" w:type="dxa"/>
          </w:tcPr>
          <w:p w14:paraId="298C5CA8">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r>
              <w:rPr>
                <w:rFonts w:hint="eastAsia" w:ascii="宋体" w:hAnsi="宋体" w:cs="宋体"/>
                <w:color w:val="auto"/>
                <w:sz w:val="24"/>
                <w:szCs w:val="24"/>
              </w:rPr>
              <w:t>小微企业优惠后价格</w:t>
            </w:r>
          </w:p>
        </w:tc>
      </w:tr>
      <w:tr w14:paraId="657E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5627B7B2">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r>
              <w:rPr>
                <w:rFonts w:hint="eastAsia" w:ascii="宋体" w:hAnsi="宋体" w:cs="宋体"/>
                <w:color w:val="auto"/>
                <w:sz w:val="24"/>
                <w:szCs w:val="24"/>
              </w:rPr>
              <w:t>1</w:t>
            </w:r>
          </w:p>
        </w:tc>
        <w:tc>
          <w:tcPr>
            <w:tcW w:w="2869" w:type="dxa"/>
            <w:vAlign w:val="center"/>
          </w:tcPr>
          <w:p w14:paraId="7E64AA10">
            <w:pPr>
              <w:keepNext w:val="0"/>
              <w:keepLines w:val="0"/>
              <w:pageBreakBefore w:val="0"/>
              <w:widowControl w:val="0"/>
              <w:kinsoku/>
              <w:wordWrap/>
              <w:overflowPunct/>
              <w:topLinePunct w:val="0"/>
              <w:autoSpaceDE/>
              <w:autoSpaceDN/>
              <w:bidi w:val="0"/>
              <w:spacing w:line="400" w:lineRule="exact"/>
              <w:textAlignment w:val="auto"/>
              <w:outlineLvl w:val="9"/>
              <w:rPr>
                <w:rFonts w:ascii="宋体" w:hAnsi="宋体" w:cs="宋体"/>
                <w:color w:val="auto"/>
                <w:sz w:val="24"/>
                <w:szCs w:val="24"/>
              </w:rPr>
            </w:pPr>
          </w:p>
        </w:tc>
        <w:tc>
          <w:tcPr>
            <w:tcW w:w="975" w:type="dxa"/>
          </w:tcPr>
          <w:p w14:paraId="05EC7147">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p>
        </w:tc>
        <w:tc>
          <w:tcPr>
            <w:tcW w:w="1170" w:type="dxa"/>
          </w:tcPr>
          <w:p w14:paraId="248AAB09">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p>
        </w:tc>
        <w:tc>
          <w:tcPr>
            <w:tcW w:w="1359" w:type="dxa"/>
          </w:tcPr>
          <w:p w14:paraId="31A7A2FC">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p>
        </w:tc>
        <w:tc>
          <w:tcPr>
            <w:tcW w:w="1230" w:type="dxa"/>
          </w:tcPr>
          <w:p w14:paraId="784AE365">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p>
        </w:tc>
        <w:tc>
          <w:tcPr>
            <w:tcW w:w="1611" w:type="dxa"/>
          </w:tcPr>
          <w:p w14:paraId="24C28B48">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p>
        </w:tc>
      </w:tr>
      <w:tr w14:paraId="2FDC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2268A31A">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r>
              <w:rPr>
                <w:rFonts w:hint="eastAsia" w:ascii="宋体" w:hAnsi="宋体" w:cs="宋体"/>
                <w:color w:val="auto"/>
                <w:sz w:val="24"/>
                <w:szCs w:val="24"/>
              </w:rPr>
              <w:t>2</w:t>
            </w:r>
          </w:p>
        </w:tc>
        <w:tc>
          <w:tcPr>
            <w:tcW w:w="2869" w:type="dxa"/>
            <w:vAlign w:val="center"/>
          </w:tcPr>
          <w:p w14:paraId="71BA0DF6">
            <w:pPr>
              <w:keepNext w:val="0"/>
              <w:keepLines w:val="0"/>
              <w:pageBreakBefore w:val="0"/>
              <w:widowControl w:val="0"/>
              <w:kinsoku/>
              <w:wordWrap/>
              <w:overflowPunct/>
              <w:topLinePunct w:val="0"/>
              <w:autoSpaceDE/>
              <w:autoSpaceDN/>
              <w:bidi w:val="0"/>
              <w:spacing w:line="400" w:lineRule="exact"/>
              <w:textAlignment w:val="auto"/>
              <w:outlineLvl w:val="9"/>
              <w:rPr>
                <w:rFonts w:ascii="宋体" w:hAnsi="宋体" w:cs="宋体"/>
                <w:color w:val="auto"/>
                <w:sz w:val="24"/>
                <w:szCs w:val="24"/>
              </w:rPr>
            </w:pPr>
          </w:p>
        </w:tc>
        <w:tc>
          <w:tcPr>
            <w:tcW w:w="975" w:type="dxa"/>
          </w:tcPr>
          <w:p w14:paraId="2C4F78F0">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p>
        </w:tc>
        <w:tc>
          <w:tcPr>
            <w:tcW w:w="1170" w:type="dxa"/>
          </w:tcPr>
          <w:p w14:paraId="01A2E72A">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p>
        </w:tc>
        <w:tc>
          <w:tcPr>
            <w:tcW w:w="1359" w:type="dxa"/>
          </w:tcPr>
          <w:p w14:paraId="5D8A77B0">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p>
        </w:tc>
        <w:tc>
          <w:tcPr>
            <w:tcW w:w="1230" w:type="dxa"/>
          </w:tcPr>
          <w:p w14:paraId="2CD1E8F5">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p>
        </w:tc>
        <w:tc>
          <w:tcPr>
            <w:tcW w:w="1611" w:type="dxa"/>
          </w:tcPr>
          <w:p w14:paraId="6DCA891E">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p>
        </w:tc>
      </w:tr>
      <w:tr w14:paraId="1038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29F414EB">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r>
              <w:rPr>
                <w:rFonts w:hint="eastAsia" w:ascii="宋体" w:hAnsi="宋体" w:cs="宋体"/>
                <w:color w:val="auto"/>
                <w:sz w:val="24"/>
                <w:szCs w:val="24"/>
              </w:rPr>
              <w:t>3</w:t>
            </w:r>
          </w:p>
        </w:tc>
        <w:tc>
          <w:tcPr>
            <w:tcW w:w="2869" w:type="dxa"/>
            <w:vAlign w:val="center"/>
          </w:tcPr>
          <w:p w14:paraId="5F948C1B">
            <w:pPr>
              <w:keepNext w:val="0"/>
              <w:keepLines w:val="0"/>
              <w:pageBreakBefore w:val="0"/>
              <w:widowControl w:val="0"/>
              <w:kinsoku/>
              <w:wordWrap/>
              <w:overflowPunct/>
              <w:topLinePunct w:val="0"/>
              <w:autoSpaceDE/>
              <w:autoSpaceDN/>
              <w:bidi w:val="0"/>
              <w:spacing w:line="400" w:lineRule="exact"/>
              <w:textAlignment w:val="auto"/>
              <w:outlineLvl w:val="9"/>
              <w:rPr>
                <w:rFonts w:ascii="宋体" w:hAnsi="宋体" w:cs="宋体"/>
                <w:color w:val="auto"/>
                <w:sz w:val="24"/>
                <w:szCs w:val="24"/>
              </w:rPr>
            </w:pPr>
          </w:p>
        </w:tc>
        <w:tc>
          <w:tcPr>
            <w:tcW w:w="975" w:type="dxa"/>
          </w:tcPr>
          <w:p w14:paraId="0E4A893B">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p>
        </w:tc>
        <w:tc>
          <w:tcPr>
            <w:tcW w:w="1170" w:type="dxa"/>
          </w:tcPr>
          <w:p w14:paraId="5F94586C">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p>
        </w:tc>
        <w:tc>
          <w:tcPr>
            <w:tcW w:w="1359" w:type="dxa"/>
          </w:tcPr>
          <w:p w14:paraId="0F972E84">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p>
        </w:tc>
        <w:tc>
          <w:tcPr>
            <w:tcW w:w="1230" w:type="dxa"/>
          </w:tcPr>
          <w:p w14:paraId="7DA7FAD1">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p>
        </w:tc>
        <w:tc>
          <w:tcPr>
            <w:tcW w:w="1611" w:type="dxa"/>
          </w:tcPr>
          <w:p w14:paraId="75564112">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p>
        </w:tc>
      </w:tr>
      <w:tr w14:paraId="1649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0F965CD5">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r>
              <w:rPr>
                <w:rFonts w:hint="eastAsia" w:ascii="宋体" w:hAnsi="宋体" w:cs="宋体"/>
                <w:color w:val="auto"/>
                <w:sz w:val="24"/>
                <w:szCs w:val="24"/>
              </w:rPr>
              <w:t>4</w:t>
            </w:r>
          </w:p>
        </w:tc>
        <w:tc>
          <w:tcPr>
            <w:tcW w:w="2869" w:type="dxa"/>
            <w:vAlign w:val="center"/>
          </w:tcPr>
          <w:p w14:paraId="72509333">
            <w:pPr>
              <w:keepNext w:val="0"/>
              <w:keepLines w:val="0"/>
              <w:pageBreakBefore w:val="0"/>
              <w:widowControl w:val="0"/>
              <w:kinsoku/>
              <w:wordWrap/>
              <w:overflowPunct/>
              <w:topLinePunct w:val="0"/>
              <w:autoSpaceDE/>
              <w:autoSpaceDN/>
              <w:bidi w:val="0"/>
              <w:spacing w:line="400" w:lineRule="exact"/>
              <w:textAlignment w:val="auto"/>
              <w:outlineLvl w:val="9"/>
              <w:rPr>
                <w:rFonts w:ascii="宋体" w:hAnsi="宋体" w:cs="宋体"/>
                <w:color w:val="auto"/>
                <w:sz w:val="24"/>
                <w:szCs w:val="24"/>
              </w:rPr>
            </w:pPr>
          </w:p>
        </w:tc>
        <w:tc>
          <w:tcPr>
            <w:tcW w:w="975" w:type="dxa"/>
          </w:tcPr>
          <w:p w14:paraId="7FBA97FC">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p>
        </w:tc>
        <w:tc>
          <w:tcPr>
            <w:tcW w:w="1170" w:type="dxa"/>
          </w:tcPr>
          <w:p w14:paraId="2664E723">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p>
        </w:tc>
        <w:tc>
          <w:tcPr>
            <w:tcW w:w="1359" w:type="dxa"/>
          </w:tcPr>
          <w:p w14:paraId="5D607140">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p>
        </w:tc>
        <w:tc>
          <w:tcPr>
            <w:tcW w:w="1230" w:type="dxa"/>
          </w:tcPr>
          <w:p w14:paraId="27E348CE">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p>
        </w:tc>
        <w:tc>
          <w:tcPr>
            <w:tcW w:w="1611" w:type="dxa"/>
          </w:tcPr>
          <w:p w14:paraId="7028A1C5">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p>
        </w:tc>
      </w:tr>
      <w:tr w14:paraId="7607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372EA710">
            <w:pPr>
              <w:keepNext w:val="0"/>
              <w:keepLines w:val="0"/>
              <w:pageBreakBefore w:val="0"/>
              <w:widowControl w:val="0"/>
              <w:kinsoku/>
              <w:wordWrap/>
              <w:overflowPunct/>
              <w:topLinePunct w:val="0"/>
              <w:autoSpaceDE/>
              <w:autoSpaceDN/>
              <w:bidi w:val="0"/>
              <w:spacing w:line="400" w:lineRule="exact"/>
              <w:textAlignment w:val="auto"/>
              <w:outlineLvl w:val="9"/>
              <w:rPr>
                <w:rFonts w:ascii="宋体" w:hAnsi="宋体" w:cs="宋体"/>
                <w:color w:val="auto"/>
                <w:sz w:val="24"/>
                <w:szCs w:val="24"/>
              </w:rPr>
            </w:pPr>
            <w:r>
              <w:rPr>
                <w:rFonts w:hint="eastAsia" w:ascii="宋体" w:hAnsi="宋体" w:cs="宋体"/>
                <w:color w:val="auto"/>
                <w:sz w:val="24"/>
                <w:szCs w:val="24"/>
              </w:rPr>
              <w:t>....</w:t>
            </w:r>
          </w:p>
        </w:tc>
        <w:tc>
          <w:tcPr>
            <w:tcW w:w="2869" w:type="dxa"/>
            <w:vAlign w:val="center"/>
          </w:tcPr>
          <w:p w14:paraId="212AD458">
            <w:pPr>
              <w:keepNext w:val="0"/>
              <w:keepLines w:val="0"/>
              <w:pageBreakBefore w:val="0"/>
              <w:widowControl w:val="0"/>
              <w:kinsoku/>
              <w:wordWrap/>
              <w:overflowPunct/>
              <w:topLinePunct w:val="0"/>
              <w:autoSpaceDE/>
              <w:autoSpaceDN/>
              <w:bidi w:val="0"/>
              <w:spacing w:line="400" w:lineRule="exact"/>
              <w:textAlignment w:val="auto"/>
              <w:outlineLvl w:val="9"/>
              <w:rPr>
                <w:rFonts w:ascii="宋体" w:hAnsi="宋体" w:cs="宋体"/>
                <w:color w:val="auto"/>
                <w:sz w:val="24"/>
                <w:szCs w:val="24"/>
              </w:rPr>
            </w:pPr>
          </w:p>
        </w:tc>
        <w:tc>
          <w:tcPr>
            <w:tcW w:w="975" w:type="dxa"/>
          </w:tcPr>
          <w:p w14:paraId="5E59B240">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p>
        </w:tc>
        <w:tc>
          <w:tcPr>
            <w:tcW w:w="1170" w:type="dxa"/>
          </w:tcPr>
          <w:p w14:paraId="7B2773B9">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p>
        </w:tc>
        <w:tc>
          <w:tcPr>
            <w:tcW w:w="1359" w:type="dxa"/>
          </w:tcPr>
          <w:p w14:paraId="44F6F387">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p>
        </w:tc>
        <w:tc>
          <w:tcPr>
            <w:tcW w:w="1230" w:type="dxa"/>
          </w:tcPr>
          <w:p w14:paraId="62EFD1B5">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p>
        </w:tc>
        <w:tc>
          <w:tcPr>
            <w:tcW w:w="1611" w:type="dxa"/>
          </w:tcPr>
          <w:p w14:paraId="42AEB609">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宋体" w:hAnsi="宋体" w:cs="宋体"/>
                <w:color w:val="auto"/>
                <w:sz w:val="24"/>
                <w:szCs w:val="24"/>
              </w:rPr>
            </w:pPr>
          </w:p>
        </w:tc>
      </w:tr>
      <w:tr w14:paraId="415E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18" w:type="dxa"/>
            <w:gridSpan w:val="6"/>
          </w:tcPr>
          <w:p w14:paraId="01B52805">
            <w:pPr>
              <w:keepNext w:val="0"/>
              <w:keepLines w:val="0"/>
              <w:pageBreakBefore w:val="0"/>
              <w:widowControl w:val="0"/>
              <w:kinsoku/>
              <w:wordWrap/>
              <w:overflowPunct/>
              <w:topLinePunct w:val="0"/>
              <w:autoSpaceDE/>
              <w:autoSpaceDN/>
              <w:bidi w:val="0"/>
              <w:spacing w:line="400" w:lineRule="exact"/>
              <w:textAlignment w:val="auto"/>
              <w:outlineLvl w:val="9"/>
              <w:rPr>
                <w:rFonts w:ascii="宋体" w:hAnsi="宋体" w:cs="宋体"/>
                <w:color w:val="auto"/>
                <w:sz w:val="24"/>
                <w:szCs w:val="24"/>
              </w:rPr>
            </w:pPr>
            <w:r>
              <w:rPr>
                <w:rFonts w:hint="eastAsia" w:ascii="宋体" w:hAnsi="宋体" w:cs="宋体"/>
                <w:color w:val="auto"/>
                <w:sz w:val="24"/>
                <w:szCs w:val="24"/>
              </w:rPr>
              <w:t xml:space="preserve">投标总价 大写：       （小写￥：       ） </w:t>
            </w:r>
          </w:p>
        </w:tc>
        <w:tc>
          <w:tcPr>
            <w:tcW w:w="1611" w:type="dxa"/>
          </w:tcPr>
          <w:p w14:paraId="11F2F22B">
            <w:pPr>
              <w:keepNext w:val="0"/>
              <w:keepLines w:val="0"/>
              <w:pageBreakBefore w:val="0"/>
              <w:widowControl w:val="0"/>
              <w:kinsoku/>
              <w:wordWrap/>
              <w:overflowPunct/>
              <w:topLinePunct w:val="0"/>
              <w:autoSpaceDE/>
              <w:autoSpaceDN/>
              <w:bidi w:val="0"/>
              <w:spacing w:line="400" w:lineRule="exact"/>
              <w:textAlignment w:val="auto"/>
              <w:outlineLvl w:val="9"/>
              <w:rPr>
                <w:rFonts w:ascii="宋体" w:hAnsi="宋体" w:cs="宋体"/>
                <w:color w:val="auto"/>
                <w:sz w:val="24"/>
                <w:szCs w:val="24"/>
              </w:rPr>
            </w:pPr>
            <w:r>
              <w:rPr>
                <w:rFonts w:hint="eastAsia" w:ascii="宋体" w:hAnsi="宋体" w:cs="宋体"/>
                <w:color w:val="auto"/>
                <w:sz w:val="24"/>
                <w:szCs w:val="24"/>
              </w:rPr>
              <w:t>￥：</w:t>
            </w:r>
          </w:p>
        </w:tc>
      </w:tr>
    </w:tbl>
    <w:p w14:paraId="7152931A">
      <w:pPr>
        <w:keepNext w:val="0"/>
        <w:keepLines w:val="0"/>
        <w:pageBreakBefore w:val="0"/>
        <w:widowControl w:val="0"/>
        <w:kinsoku/>
        <w:wordWrap/>
        <w:overflowPunct/>
        <w:topLinePunct w:val="0"/>
        <w:autoSpaceDE/>
        <w:autoSpaceDN/>
        <w:bidi w:val="0"/>
        <w:spacing w:before="40" w:after="40" w:line="400" w:lineRule="exact"/>
        <w:jc w:val="left"/>
        <w:textAlignment w:val="auto"/>
        <w:outlineLvl w:val="9"/>
        <w:rPr>
          <w:rFonts w:ascii="宋体" w:hAnsi="宋体" w:cs="宋体"/>
          <w:color w:val="auto"/>
          <w:sz w:val="24"/>
          <w:szCs w:val="24"/>
        </w:rPr>
      </w:pPr>
      <w:r>
        <w:rPr>
          <w:rFonts w:hint="eastAsia" w:ascii="宋体" w:hAnsi="宋体" w:cs="宋体"/>
          <w:color w:val="auto"/>
          <w:sz w:val="24"/>
          <w:szCs w:val="24"/>
        </w:rPr>
        <w:t>投标总价与开标一览表及投标函一致</w:t>
      </w:r>
    </w:p>
    <w:p w14:paraId="32B8FF96">
      <w:pPr>
        <w:keepNext w:val="0"/>
        <w:keepLines w:val="0"/>
        <w:pageBreakBefore w:val="0"/>
        <w:widowControl w:val="0"/>
        <w:kinsoku/>
        <w:wordWrap/>
        <w:overflowPunct/>
        <w:topLinePunct w:val="0"/>
        <w:autoSpaceDE/>
        <w:autoSpaceDN/>
        <w:bidi w:val="0"/>
        <w:spacing w:line="400" w:lineRule="exact"/>
        <w:textAlignment w:val="auto"/>
        <w:outlineLvl w:val="9"/>
        <w:rPr>
          <w:rFonts w:ascii="宋体" w:hAnsi="宋体" w:cs="宋体"/>
          <w:color w:val="auto"/>
          <w:spacing w:val="-2"/>
          <w:sz w:val="24"/>
          <w:szCs w:val="24"/>
        </w:rPr>
      </w:pPr>
      <w:r>
        <w:rPr>
          <w:rFonts w:hint="eastAsia" w:ascii="宋体" w:hAnsi="宋体" w:cs="宋体"/>
          <w:color w:val="auto"/>
          <w:spacing w:val="-2"/>
          <w:sz w:val="24"/>
          <w:szCs w:val="24"/>
        </w:rPr>
        <w:t>注：</w:t>
      </w:r>
    </w:p>
    <w:p w14:paraId="392CD46B">
      <w:pPr>
        <w:keepNext w:val="0"/>
        <w:keepLines w:val="0"/>
        <w:pageBreakBefore w:val="0"/>
        <w:widowControl w:val="0"/>
        <w:kinsoku/>
        <w:wordWrap/>
        <w:overflowPunct/>
        <w:topLinePunct w:val="0"/>
        <w:autoSpaceDE/>
        <w:autoSpaceDN/>
        <w:bidi w:val="0"/>
        <w:spacing w:line="400" w:lineRule="exact"/>
        <w:textAlignment w:val="auto"/>
        <w:outlineLvl w:val="9"/>
        <w:rPr>
          <w:rFonts w:ascii="宋体" w:hAnsi="宋体" w:cs="宋体"/>
          <w:color w:val="auto"/>
          <w:spacing w:val="-2"/>
          <w:sz w:val="24"/>
          <w:szCs w:val="24"/>
        </w:rPr>
      </w:pPr>
      <w:r>
        <w:rPr>
          <w:rFonts w:hint="eastAsia" w:ascii="宋体" w:hAnsi="宋体" w:cs="宋体"/>
          <w:color w:val="auto"/>
          <w:spacing w:val="-2"/>
          <w:sz w:val="24"/>
          <w:szCs w:val="24"/>
        </w:rPr>
        <w:t>1、采购清单全费用报价表中所填入的单价和合价，均包括人工费、材料费、运输费、管理费、利润、税金以及采用固定价格的项目所测算的风险金等实际现场完成本项目的全部费用。</w:t>
      </w:r>
    </w:p>
    <w:p w14:paraId="2369F99E">
      <w:pPr>
        <w:keepNext w:val="0"/>
        <w:keepLines w:val="0"/>
        <w:pageBreakBefore w:val="0"/>
        <w:widowControl w:val="0"/>
        <w:kinsoku/>
        <w:wordWrap/>
        <w:overflowPunct/>
        <w:topLinePunct w:val="0"/>
        <w:autoSpaceDE/>
        <w:autoSpaceDN/>
        <w:bidi w:val="0"/>
        <w:spacing w:line="400" w:lineRule="exact"/>
        <w:textAlignment w:val="auto"/>
        <w:outlineLvl w:val="9"/>
        <w:rPr>
          <w:rFonts w:ascii="宋体" w:hAnsi="宋体" w:cs="宋体"/>
          <w:color w:val="auto"/>
          <w:spacing w:val="-2"/>
          <w:sz w:val="24"/>
          <w:szCs w:val="24"/>
        </w:rPr>
      </w:pPr>
      <w:r>
        <w:rPr>
          <w:rFonts w:hint="eastAsia" w:ascii="宋体" w:hAnsi="宋体" w:cs="宋体"/>
          <w:color w:val="auto"/>
          <w:spacing w:val="-2"/>
          <w:sz w:val="24"/>
          <w:szCs w:val="24"/>
        </w:rPr>
        <w:t>2.采购清单全费用报价表中的每一项均应填写单价和合价，对没有填写单价和合价的项目费用，视为已包括在采购清单的其他单价和合价之中。</w:t>
      </w:r>
    </w:p>
    <w:p w14:paraId="660CEAC8">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宋体" w:hAnsi="宋体" w:cs="宋体"/>
          <w:color w:val="auto"/>
          <w:sz w:val="24"/>
          <w:szCs w:val="24"/>
          <w:u w:val="single"/>
        </w:rPr>
      </w:pPr>
      <w:r>
        <w:rPr>
          <w:rFonts w:hint="eastAsia" w:ascii="宋体" w:hAnsi="宋体" w:cs="宋体"/>
          <w:color w:val="auto"/>
          <w:sz w:val="24"/>
          <w:szCs w:val="24"/>
        </w:rPr>
        <w:t>供应商名称（公章）：</w:t>
      </w:r>
      <w:r>
        <w:rPr>
          <w:rFonts w:hint="eastAsia" w:ascii="宋体" w:hAnsi="宋体" w:cs="宋体"/>
          <w:color w:val="auto"/>
          <w:sz w:val="24"/>
          <w:szCs w:val="24"/>
          <w:u w:val="single"/>
        </w:rPr>
        <w:t xml:space="preserve">                           </w:t>
      </w:r>
    </w:p>
    <w:p w14:paraId="3D2CE0CF">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宋体" w:hAnsi="宋体" w:cs="宋体"/>
          <w:color w:val="auto"/>
          <w:kern w:val="0"/>
          <w:sz w:val="24"/>
          <w:szCs w:val="24"/>
        </w:rPr>
      </w:pPr>
      <w:r>
        <w:rPr>
          <w:rFonts w:hint="eastAsia" w:ascii="宋体" w:hAnsi="宋体" w:cs="宋体"/>
          <w:color w:val="auto"/>
          <w:sz w:val="24"/>
          <w:szCs w:val="24"/>
        </w:rPr>
        <w:t>法定代表人</w:t>
      </w:r>
      <w:r>
        <w:rPr>
          <w:rFonts w:hint="eastAsia" w:ascii="宋体" w:hAnsi="宋体" w:cs="宋体"/>
          <w:color w:val="auto"/>
          <w:kern w:val="0"/>
          <w:sz w:val="24"/>
          <w:szCs w:val="24"/>
        </w:rPr>
        <w:t>（单位负责人）</w:t>
      </w:r>
      <w:r>
        <w:rPr>
          <w:rFonts w:hint="eastAsia" w:ascii="宋体" w:hAnsi="宋体" w:cs="宋体"/>
          <w:color w:val="auto"/>
          <w:sz w:val="24"/>
          <w:szCs w:val="24"/>
        </w:rPr>
        <w:t>或委托代理人(签字或盖章)：</w:t>
      </w:r>
      <w:r>
        <w:rPr>
          <w:rFonts w:hint="eastAsia" w:ascii="宋体" w:hAnsi="宋体" w:cs="宋体"/>
          <w:color w:val="auto"/>
          <w:sz w:val="24"/>
          <w:szCs w:val="24"/>
          <w:u w:val="single"/>
        </w:rPr>
        <w:t xml:space="preserve">           </w:t>
      </w:r>
    </w:p>
    <w:p w14:paraId="68934452">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cs="宋体"/>
          <w:snapToGrid w:val="0"/>
          <w:color w:val="auto"/>
          <w:sz w:val="24"/>
          <w:szCs w:val="24"/>
          <w:lang w:val="en-US" w:eastAsia="zh-CN"/>
        </w:rPr>
      </w:pPr>
      <w:r>
        <w:rPr>
          <w:rFonts w:hint="eastAsia" w:ascii="宋体" w:hAnsi="宋体" w:cs="宋体"/>
          <w:snapToGrid w:val="0"/>
          <w:color w:val="auto"/>
          <w:sz w:val="24"/>
          <w:szCs w:val="24"/>
        </w:rPr>
        <w:t>日期：</w:t>
      </w:r>
      <w:r>
        <w:rPr>
          <w:rFonts w:hint="eastAsia" w:ascii="宋体" w:hAnsi="宋体" w:cs="宋体"/>
          <w:snapToGrid w:val="0"/>
          <w:color w:val="auto"/>
          <w:sz w:val="24"/>
          <w:szCs w:val="24"/>
          <w:lang w:val="en-US" w:eastAsia="zh-CN"/>
        </w:rPr>
        <w:t xml:space="preserve">  </w:t>
      </w:r>
    </w:p>
    <w:p w14:paraId="24CCC3CB">
      <w:pPr>
        <w:autoSpaceDE w:val="0"/>
        <w:autoSpaceDN w:val="0"/>
        <w:adjustRightInd w:val="0"/>
        <w:spacing w:line="360" w:lineRule="auto"/>
        <w:ind w:firstLine="480" w:firstLineChars="200"/>
        <w:rPr>
          <w:rFonts w:ascii="宋体" w:hAnsi="宋体"/>
          <w:color w:val="auto"/>
          <w:sz w:val="24"/>
          <w:u w:val="single"/>
        </w:rPr>
      </w:pPr>
    </w:p>
    <w:p w14:paraId="765B5525">
      <w:pPr>
        <w:pStyle w:val="6"/>
        <w:autoSpaceDE w:val="0"/>
        <w:spacing w:line="360" w:lineRule="exact"/>
        <w:ind w:firstLine="3373" w:firstLineChars="1200"/>
        <w:rPr>
          <w:rFonts w:ascii="宋体" w:hAnsi="宋体" w:eastAsia="宋体" w:cs="宋体"/>
          <w:b/>
          <w:color w:val="auto"/>
          <w:sz w:val="28"/>
          <w:szCs w:val="28"/>
          <w:lang w:bidi="ar"/>
        </w:rPr>
      </w:pPr>
    </w:p>
    <w:p w14:paraId="104A84C6">
      <w:pPr>
        <w:spacing w:line="480" w:lineRule="auto"/>
        <w:ind w:firstLine="2249" w:firstLineChars="800"/>
        <w:rPr>
          <w:rFonts w:ascii="宋体" w:hAnsi="宋体" w:eastAsia="宋体" w:cs="Times New Roman"/>
          <w:b/>
          <w:color w:val="auto"/>
          <w:kern w:val="0"/>
          <w:sz w:val="28"/>
          <w:szCs w:val="28"/>
          <w:lang w:bidi="ar"/>
        </w:rPr>
      </w:pPr>
      <w:r>
        <w:rPr>
          <w:rFonts w:hint="eastAsia" w:ascii="宋体" w:hAnsi="宋体" w:eastAsia="宋体" w:cs="宋体"/>
          <w:b/>
          <w:color w:val="auto"/>
          <w:sz w:val="28"/>
          <w:szCs w:val="28"/>
          <w:lang w:bidi="ar"/>
        </w:rPr>
        <w:t>格式</w:t>
      </w:r>
      <w:r>
        <w:rPr>
          <w:rFonts w:hint="eastAsia" w:ascii="宋体" w:hAnsi="宋体" w:eastAsia="宋体" w:cs="宋体"/>
          <w:b/>
          <w:color w:val="auto"/>
          <w:sz w:val="28"/>
          <w:szCs w:val="28"/>
          <w:lang w:val="en-US" w:eastAsia="zh-CN" w:bidi="ar"/>
        </w:rPr>
        <w:t>5</w:t>
      </w:r>
      <w:r>
        <w:rPr>
          <w:rFonts w:hint="eastAsia" w:ascii="宋体" w:hAnsi="宋体" w:eastAsia="宋体" w:cs="宋体"/>
          <w:b/>
          <w:color w:val="auto"/>
          <w:sz w:val="28"/>
          <w:szCs w:val="28"/>
          <w:lang w:bidi="ar"/>
        </w:rPr>
        <w:t xml:space="preserve">、 </w:t>
      </w:r>
      <w:r>
        <w:rPr>
          <w:rFonts w:hint="eastAsia" w:ascii="宋体" w:hAnsi="宋体" w:eastAsia="宋体" w:cs="Times New Roman"/>
          <w:b/>
          <w:color w:val="auto"/>
          <w:kern w:val="0"/>
          <w:sz w:val="28"/>
          <w:szCs w:val="28"/>
          <w:lang w:bidi="ar"/>
        </w:rPr>
        <w:t>采购需求响应</w:t>
      </w:r>
      <w:r>
        <w:rPr>
          <w:rFonts w:hint="eastAsia" w:ascii="宋体" w:hAnsi="宋体" w:eastAsia="宋体" w:cs="Times New Roman"/>
          <w:b/>
          <w:color w:val="auto"/>
          <w:kern w:val="0"/>
          <w:sz w:val="24"/>
          <w:szCs w:val="24"/>
          <w:lang w:bidi="ar"/>
        </w:rPr>
        <w:t>（格式自拟）</w:t>
      </w:r>
    </w:p>
    <w:p w14:paraId="3AE211B6">
      <w:pPr>
        <w:pStyle w:val="6"/>
        <w:widowControl/>
        <w:autoSpaceDE w:val="0"/>
        <w:spacing w:line="480" w:lineRule="auto"/>
        <w:ind w:firstLine="2249" w:firstLineChars="800"/>
        <w:rPr>
          <w:rFonts w:cs="宋体"/>
          <w:b/>
          <w:bCs/>
          <w:color w:val="auto"/>
          <w:sz w:val="24"/>
          <w:szCs w:val="24"/>
        </w:rPr>
      </w:pPr>
      <w:bookmarkStart w:id="1672" w:name="_Toc14093"/>
      <w:bookmarkStart w:id="1673" w:name="_Toc9949"/>
      <w:bookmarkStart w:id="1674" w:name="_Toc3422"/>
      <w:bookmarkStart w:id="1675" w:name="_Toc27216"/>
      <w:r>
        <w:rPr>
          <w:rFonts w:hint="eastAsia" w:ascii="宋体" w:hAnsi="宋体" w:eastAsia="宋体" w:cs="宋体"/>
          <w:b/>
          <w:bCs/>
          <w:color w:val="auto"/>
          <w:sz w:val="28"/>
          <w:szCs w:val="28"/>
        </w:rPr>
        <w:t>格式</w:t>
      </w:r>
      <w:r>
        <w:rPr>
          <w:rFonts w:hint="eastAsia" w:ascii="宋体" w:hAnsi="宋体" w:eastAsia="宋体" w:cs="宋体"/>
          <w:b/>
          <w:bCs/>
          <w:color w:val="auto"/>
          <w:sz w:val="28"/>
          <w:szCs w:val="28"/>
          <w:lang w:val="en-US" w:eastAsia="zh-CN"/>
        </w:rPr>
        <w:t>6</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业绩</w:t>
      </w:r>
      <w:r>
        <w:rPr>
          <w:rFonts w:hint="eastAsia" w:cs="宋体"/>
          <w:b/>
          <w:bCs/>
          <w:color w:val="auto"/>
          <w:sz w:val="24"/>
          <w:szCs w:val="24"/>
        </w:rPr>
        <w:t>（格式自拟）</w:t>
      </w:r>
    </w:p>
    <w:p w14:paraId="38F86368">
      <w:pPr>
        <w:pStyle w:val="6"/>
        <w:widowControl/>
        <w:autoSpaceDE w:val="0"/>
        <w:spacing w:line="480" w:lineRule="auto"/>
        <w:ind w:firstLine="2249" w:firstLineChars="800"/>
        <w:rPr>
          <w:rFonts w:cs="宋体"/>
          <w:b/>
          <w:bCs/>
          <w:color w:val="auto"/>
          <w:sz w:val="24"/>
          <w:szCs w:val="24"/>
        </w:rPr>
      </w:pPr>
      <w:r>
        <w:rPr>
          <w:rFonts w:hint="eastAsia" w:ascii="宋体" w:hAnsi="宋体" w:eastAsia="宋体" w:cs="宋体"/>
          <w:b/>
          <w:bCs/>
          <w:color w:val="auto"/>
          <w:sz w:val="28"/>
          <w:szCs w:val="28"/>
        </w:rPr>
        <w:t>格式</w:t>
      </w:r>
      <w:r>
        <w:rPr>
          <w:rFonts w:hint="eastAsia" w:ascii="宋体" w:hAnsi="宋体" w:eastAsia="宋体" w:cs="宋体"/>
          <w:b/>
          <w:bCs/>
          <w:color w:val="auto"/>
          <w:sz w:val="28"/>
          <w:szCs w:val="28"/>
          <w:lang w:val="en-US" w:eastAsia="zh-CN"/>
        </w:rPr>
        <w:t>7</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运维</w:t>
      </w:r>
      <w:r>
        <w:rPr>
          <w:rFonts w:hint="eastAsia" w:ascii="宋体" w:hAnsi="宋体" w:eastAsia="宋体" w:cs="宋体"/>
          <w:b/>
          <w:bCs/>
          <w:color w:val="auto"/>
          <w:sz w:val="28"/>
          <w:szCs w:val="28"/>
        </w:rPr>
        <w:t>人员</w:t>
      </w:r>
      <w:r>
        <w:rPr>
          <w:rFonts w:hint="eastAsia" w:ascii="宋体" w:hAnsi="宋体" w:eastAsia="宋体" w:cs="宋体"/>
          <w:b/>
          <w:bCs/>
          <w:color w:val="auto"/>
          <w:sz w:val="28"/>
          <w:szCs w:val="28"/>
          <w:lang w:val="en-US" w:eastAsia="zh-CN"/>
        </w:rPr>
        <w:t>及要求</w:t>
      </w:r>
      <w:r>
        <w:rPr>
          <w:rFonts w:hint="eastAsia" w:cs="宋体"/>
          <w:b/>
          <w:bCs/>
          <w:color w:val="auto"/>
          <w:sz w:val="24"/>
          <w:szCs w:val="24"/>
        </w:rPr>
        <w:t>（格式自拟）</w:t>
      </w:r>
    </w:p>
    <w:p w14:paraId="5F4CE515">
      <w:pPr>
        <w:pStyle w:val="6"/>
        <w:widowControl/>
        <w:autoSpaceDE w:val="0"/>
        <w:spacing w:line="480" w:lineRule="auto"/>
        <w:rPr>
          <w:rFonts w:hint="eastAsia" w:cs="宋体"/>
          <w:b/>
          <w:bCs/>
          <w:color w:val="auto"/>
          <w:sz w:val="24"/>
          <w:szCs w:val="24"/>
        </w:rPr>
      </w:pPr>
      <w:r>
        <w:rPr>
          <w:rFonts w:hint="eastAsia" w:cs="宋体"/>
          <w:b/>
          <w:bCs/>
          <w:color w:val="auto"/>
          <w:sz w:val="24"/>
          <w:szCs w:val="24"/>
        </w:rPr>
        <w:t xml:space="preserve">                   </w:t>
      </w:r>
      <w:r>
        <w:rPr>
          <w:rFonts w:hint="eastAsia" w:ascii="宋体" w:hAnsi="宋体" w:eastAsia="宋体" w:cs="宋体"/>
          <w:b/>
          <w:bCs/>
          <w:color w:val="auto"/>
          <w:sz w:val="28"/>
          <w:szCs w:val="28"/>
        </w:rPr>
        <w:t>格式</w:t>
      </w:r>
      <w:r>
        <w:rPr>
          <w:rFonts w:hint="eastAsia" w:ascii="宋体" w:hAnsi="宋体" w:eastAsia="宋体" w:cs="宋体"/>
          <w:b/>
          <w:bCs/>
          <w:color w:val="auto"/>
          <w:sz w:val="28"/>
          <w:szCs w:val="28"/>
          <w:lang w:val="en-US" w:eastAsia="zh-CN"/>
        </w:rPr>
        <w:t>8</w:t>
      </w:r>
      <w:r>
        <w:rPr>
          <w:rFonts w:hint="eastAsia" w:ascii="宋体" w:hAnsi="宋体" w:eastAsia="宋体" w:cs="宋体"/>
          <w:b/>
          <w:bCs/>
          <w:color w:val="auto"/>
          <w:sz w:val="28"/>
          <w:szCs w:val="28"/>
        </w:rPr>
        <w:t>、实施方案</w:t>
      </w:r>
      <w:r>
        <w:rPr>
          <w:rFonts w:hint="eastAsia" w:cs="宋体"/>
          <w:b/>
          <w:bCs/>
          <w:color w:val="auto"/>
          <w:sz w:val="24"/>
          <w:szCs w:val="24"/>
        </w:rPr>
        <w:t xml:space="preserve">（格式自拟） </w:t>
      </w:r>
    </w:p>
    <w:p w14:paraId="14C796FD">
      <w:pPr>
        <w:pStyle w:val="6"/>
        <w:widowControl/>
        <w:autoSpaceDE w:val="0"/>
        <w:spacing w:line="280" w:lineRule="exact"/>
        <w:rPr>
          <w:rFonts w:hint="eastAsia" w:cs="宋体"/>
          <w:b/>
          <w:bCs/>
          <w:color w:val="auto"/>
          <w:sz w:val="24"/>
          <w:szCs w:val="24"/>
        </w:rPr>
      </w:pPr>
    </w:p>
    <w:p w14:paraId="2B2BF21A">
      <w:pPr>
        <w:pStyle w:val="6"/>
        <w:widowControl/>
        <w:autoSpaceDE w:val="0"/>
        <w:spacing w:line="280" w:lineRule="exact"/>
        <w:rPr>
          <w:rFonts w:hint="eastAsia" w:cs="宋体"/>
          <w:b/>
          <w:bCs/>
          <w:color w:val="auto"/>
          <w:sz w:val="24"/>
          <w:szCs w:val="24"/>
        </w:rPr>
      </w:pPr>
    </w:p>
    <w:p w14:paraId="4D832145">
      <w:pPr>
        <w:pStyle w:val="6"/>
        <w:widowControl/>
        <w:autoSpaceDE w:val="0"/>
        <w:spacing w:line="280" w:lineRule="exact"/>
        <w:rPr>
          <w:rFonts w:hint="eastAsia" w:cs="宋体"/>
          <w:b/>
          <w:bCs/>
          <w:color w:val="auto"/>
          <w:sz w:val="24"/>
          <w:szCs w:val="24"/>
        </w:rPr>
      </w:pPr>
    </w:p>
    <w:p w14:paraId="3B9479DD">
      <w:pPr>
        <w:pStyle w:val="6"/>
        <w:widowControl/>
        <w:autoSpaceDE w:val="0"/>
        <w:spacing w:line="280" w:lineRule="exact"/>
        <w:rPr>
          <w:rFonts w:hint="eastAsia" w:cs="宋体"/>
          <w:b/>
          <w:bCs/>
          <w:color w:val="auto"/>
          <w:sz w:val="24"/>
          <w:szCs w:val="24"/>
        </w:rPr>
      </w:pPr>
    </w:p>
    <w:p w14:paraId="70AF3A83">
      <w:pPr>
        <w:pStyle w:val="6"/>
        <w:widowControl/>
        <w:autoSpaceDE w:val="0"/>
        <w:spacing w:line="280" w:lineRule="exact"/>
        <w:rPr>
          <w:rFonts w:hint="eastAsia" w:cs="宋体"/>
          <w:b/>
          <w:bCs/>
          <w:color w:val="auto"/>
          <w:sz w:val="24"/>
          <w:szCs w:val="24"/>
        </w:rPr>
      </w:pPr>
    </w:p>
    <w:p w14:paraId="7D380BB6">
      <w:pPr>
        <w:pStyle w:val="6"/>
        <w:widowControl/>
        <w:autoSpaceDE w:val="0"/>
        <w:spacing w:line="280" w:lineRule="exact"/>
        <w:rPr>
          <w:rFonts w:hint="eastAsia" w:cs="宋体"/>
          <w:b/>
          <w:bCs/>
          <w:color w:val="auto"/>
          <w:sz w:val="24"/>
          <w:szCs w:val="24"/>
        </w:rPr>
      </w:pPr>
    </w:p>
    <w:p w14:paraId="6120AA1B">
      <w:pPr>
        <w:pStyle w:val="6"/>
        <w:widowControl/>
        <w:autoSpaceDE w:val="0"/>
        <w:spacing w:line="280" w:lineRule="exact"/>
        <w:rPr>
          <w:rFonts w:hint="eastAsia" w:cs="宋体"/>
          <w:b/>
          <w:bCs/>
          <w:color w:val="auto"/>
          <w:sz w:val="24"/>
          <w:szCs w:val="24"/>
        </w:rPr>
      </w:pPr>
    </w:p>
    <w:p w14:paraId="2E2279E3">
      <w:pPr>
        <w:pStyle w:val="6"/>
        <w:widowControl/>
        <w:autoSpaceDE w:val="0"/>
        <w:spacing w:line="280" w:lineRule="exact"/>
        <w:rPr>
          <w:color w:val="auto"/>
          <w:sz w:val="28"/>
          <w:szCs w:val="28"/>
        </w:rPr>
      </w:pPr>
      <w:r>
        <w:rPr>
          <w:rFonts w:hint="eastAsia" w:cs="宋体"/>
          <w:b/>
          <w:bCs/>
          <w:color w:val="auto"/>
          <w:sz w:val="24"/>
          <w:szCs w:val="24"/>
        </w:rPr>
        <w:t xml:space="preserve">      </w:t>
      </w:r>
      <w:r>
        <w:rPr>
          <w:rFonts w:hint="eastAsia" w:cs="宋体"/>
          <w:b/>
          <w:bCs/>
          <w:color w:val="auto"/>
          <w:sz w:val="28"/>
          <w:szCs w:val="28"/>
        </w:rPr>
        <w:t xml:space="preserve">             </w:t>
      </w:r>
    </w:p>
    <w:p w14:paraId="07CCE095">
      <w:pPr>
        <w:pStyle w:val="6"/>
        <w:widowControl/>
        <w:autoSpaceDE w:val="0"/>
        <w:spacing w:line="280" w:lineRule="exact"/>
        <w:ind w:firstLine="2801" w:firstLineChars="1000"/>
        <w:rPr>
          <w:rFonts w:cs="宋体"/>
          <w:color w:val="auto"/>
          <w:sz w:val="28"/>
          <w:szCs w:val="28"/>
        </w:rPr>
      </w:pPr>
      <w:r>
        <w:rPr>
          <w:rFonts w:hint="eastAsia" w:cs="宋体"/>
          <w:b/>
          <w:bCs/>
          <w:color w:val="auto"/>
          <w:sz w:val="28"/>
          <w:szCs w:val="28"/>
        </w:rPr>
        <w:t>格式</w:t>
      </w:r>
      <w:r>
        <w:rPr>
          <w:rFonts w:hint="eastAsia" w:eastAsia="宋体" w:cs="宋体"/>
          <w:b/>
          <w:bCs/>
          <w:color w:val="auto"/>
          <w:sz w:val="28"/>
          <w:szCs w:val="28"/>
          <w:lang w:val="en-US" w:eastAsia="zh-CN"/>
        </w:rPr>
        <w:t>9</w:t>
      </w:r>
      <w:r>
        <w:rPr>
          <w:rFonts w:hint="eastAsia" w:cs="宋体"/>
          <w:b/>
          <w:bCs/>
          <w:color w:val="auto"/>
          <w:sz w:val="28"/>
          <w:szCs w:val="28"/>
        </w:rPr>
        <w:t>、供应商无不良信用记录情形承诺</w:t>
      </w:r>
    </w:p>
    <w:p w14:paraId="3D74CFEA">
      <w:pPr>
        <w:pStyle w:val="6"/>
        <w:widowControl/>
        <w:autoSpaceDE w:val="0"/>
        <w:spacing w:line="280" w:lineRule="exact"/>
        <w:rPr>
          <w:rFonts w:cs="宋体"/>
          <w:b/>
          <w:bCs/>
          <w:color w:val="auto"/>
          <w:sz w:val="24"/>
          <w:szCs w:val="24"/>
        </w:rPr>
      </w:pPr>
      <w:r>
        <w:rPr>
          <w:rFonts w:cs="宋体"/>
          <w:b/>
          <w:bCs/>
          <w:color w:val="auto"/>
          <w:sz w:val="24"/>
          <w:szCs w:val="24"/>
        </w:rPr>
        <w:t xml:space="preserve">致：  </w:t>
      </w:r>
      <w:r>
        <w:rPr>
          <w:rFonts w:hint="eastAsia" w:cs="宋体"/>
          <w:b/>
          <w:bCs/>
          <w:color w:val="auto"/>
          <w:sz w:val="24"/>
          <w:szCs w:val="24"/>
        </w:rPr>
        <w:t>淮南市</w:t>
      </w:r>
      <w:r>
        <w:rPr>
          <w:rFonts w:hint="eastAsia" w:eastAsia="宋体" w:cs="宋体"/>
          <w:b/>
          <w:bCs/>
          <w:color w:val="auto"/>
          <w:sz w:val="24"/>
          <w:szCs w:val="24"/>
          <w:lang w:val="en-US" w:eastAsia="zh-CN"/>
        </w:rPr>
        <w:t>应急管理</w:t>
      </w:r>
      <w:r>
        <w:rPr>
          <w:rFonts w:hint="eastAsia" w:cs="宋体"/>
          <w:b/>
          <w:bCs/>
          <w:color w:val="auto"/>
          <w:sz w:val="24"/>
          <w:szCs w:val="24"/>
        </w:rPr>
        <w:t>局</w:t>
      </w:r>
    </w:p>
    <w:p w14:paraId="1D463181">
      <w:pPr>
        <w:pStyle w:val="6"/>
        <w:widowControl/>
        <w:spacing w:line="280" w:lineRule="exact"/>
        <w:rPr>
          <w:rFonts w:cs="宋体"/>
          <w:color w:val="auto"/>
          <w:sz w:val="24"/>
          <w:szCs w:val="24"/>
        </w:rPr>
      </w:pPr>
      <w:r>
        <w:rPr>
          <w:rFonts w:cs="宋体"/>
          <w:color w:val="auto"/>
          <w:sz w:val="24"/>
          <w:szCs w:val="24"/>
        </w:rPr>
        <w:t>我公司</w:t>
      </w:r>
      <w:r>
        <w:rPr>
          <w:rFonts w:cs="宋体"/>
          <w:color w:val="auto"/>
          <w:sz w:val="24"/>
          <w:szCs w:val="24"/>
          <w:u w:val="single"/>
        </w:rPr>
        <w:t xml:space="preserve">           </w:t>
      </w:r>
      <w:r>
        <w:rPr>
          <w:rFonts w:cs="宋体"/>
          <w:color w:val="auto"/>
          <w:sz w:val="24"/>
          <w:szCs w:val="24"/>
        </w:rPr>
        <w:t>（供应商）承诺无以下行为；</w:t>
      </w:r>
    </w:p>
    <w:p w14:paraId="60F5F5F7">
      <w:pPr>
        <w:pStyle w:val="6"/>
        <w:widowControl/>
        <w:autoSpaceDE w:val="0"/>
        <w:spacing w:line="280" w:lineRule="exact"/>
        <w:rPr>
          <w:rFonts w:cs="宋体"/>
          <w:color w:val="auto"/>
          <w:sz w:val="24"/>
          <w:szCs w:val="24"/>
        </w:rPr>
      </w:pPr>
      <w:r>
        <w:rPr>
          <w:rFonts w:cs="宋体"/>
          <w:color w:val="auto"/>
          <w:sz w:val="24"/>
          <w:szCs w:val="24"/>
        </w:rPr>
        <w:t>（1）供应商被人民法院列入失信被执行人的；</w:t>
      </w:r>
    </w:p>
    <w:p w14:paraId="77C1A0CF">
      <w:pPr>
        <w:pStyle w:val="6"/>
        <w:widowControl/>
        <w:autoSpaceDE w:val="0"/>
        <w:spacing w:line="280" w:lineRule="exact"/>
        <w:rPr>
          <w:rFonts w:cs="宋体"/>
          <w:color w:val="auto"/>
          <w:sz w:val="24"/>
          <w:szCs w:val="24"/>
        </w:rPr>
      </w:pPr>
      <w:r>
        <w:rPr>
          <w:rFonts w:cs="宋体"/>
          <w:color w:val="auto"/>
          <w:sz w:val="24"/>
          <w:szCs w:val="24"/>
        </w:rPr>
        <w:t>（2）供应商或其法定代表人或拟派项目经理（项目负责人）被人民检察院列入行贿犯罪档案的；</w:t>
      </w:r>
    </w:p>
    <w:p w14:paraId="65B19AFD">
      <w:pPr>
        <w:pStyle w:val="6"/>
        <w:widowControl/>
        <w:autoSpaceDE w:val="0"/>
        <w:spacing w:line="280" w:lineRule="exact"/>
        <w:rPr>
          <w:rFonts w:eastAsia="宋体" w:cs="宋体"/>
          <w:color w:val="auto"/>
          <w:sz w:val="24"/>
          <w:szCs w:val="24"/>
        </w:rPr>
      </w:pPr>
      <w:r>
        <w:rPr>
          <w:rFonts w:cs="宋体"/>
          <w:color w:val="auto"/>
          <w:sz w:val="24"/>
          <w:szCs w:val="24"/>
        </w:rPr>
        <w:t>（3）供应商被工商行政管理部门（市场监督管理局）列入企业经营异常名录的；</w:t>
      </w:r>
    </w:p>
    <w:p w14:paraId="08FACFC0">
      <w:pPr>
        <w:pStyle w:val="6"/>
        <w:widowControl/>
        <w:autoSpaceDE w:val="0"/>
        <w:spacing w:line="280" w:lineRule="exact"/>
        <w:rPr>
          <w:rFonts w:cs="宋体"/>
          <w:color w:val="auto"/>
          <w:sz w:val="24"/>
          <w:szCs w:val="24"/>
        </w:rPr>
      </w:pPr>
      <w:r>
        <w:rPr>
          <w:rFonts w:cs="宋体"/>
          <w:color w:val="auto"/>
          <w:sz w:val="24"/>
          <w:szCs w:val="24"/>
        </w:rPr>
        <w:t>（4）供应商被税务部门列入重大税收违法案件当事人名单的；</w:t>
      </w:r>
    </w:p>
    <w:p w14:paraId="4CD0B991">
      <w:pPr>
        <w:pStyle w:val="6"/>
        <w:widowControl/>
        <w:autoSpaceDE w:val="0"/>
        <w:spacing w:line="280" w:lineRule="exact"/>
        <w:rPr>
          <w:rFonts w:cs="宋体"/>
          <w:color w:val="auto"/>
          <w:sz w:val="24"/>
          <w:szCs w:val="24"/>
        </w:rPr>
      </w:pPr>
      <w:r>
        <w:rPr>
          <w:rFonts w:cs="宋体"/>
          <w:color w:val="auto"/>
          <w:sz w:val="24"/>
          <w:szCs w:val="24"/>
        </w:rPr>
        <w:t>（5）供应商被政府采购监管部门列入政府采购严重违法失信行为记录名单的。</w:t>
      </w:r>
    </w:p>
    <w:p w14:paraId="2B018F58">
      <w:pPr>
        <w:spacing w:line="280" w:lineRule="exact"/>
        <w:jc w:val="left"/>
        <w:rPr>
          <w:rFonts w:ascii="宋体" w:hAnsi="宋体" w:eastAsia="宋体" w:cs="宋体"/>
          <w:color w:val="auto"/>
          <w:sz w:val="24"/>
        </w:rPr>
      </w:pPr>
      <w:r>
        <w:rPr>
          <w:rFonts w:hint="eastAsia" w:ascii="宋体" w:hAnsi="宋体" w:eastAsia="宋体" w:cs="宋体"/>
          <w:color w:val="auto"/>
          <w:kern w:val="0"/>
          <w:sz w:val="24"/>
          <w:lang w:bidi="ar"/>
        </w:rPr>
        <w:t>法定代表人或委托代理人（签字或盖章）：</w:t>
      </w:r>
      <w:r>
        <w:rPr>
          <w:rFonts w:hint="eastAsia" w:ascii="宋体" w:hAnsi="宋体" w:eastAsia="宋体" w:cs="宋体"/>
          <w:color w:val="auto"/>
          <w:kern w:val="0"/>
          <w:sz w:val="24"/>
          <w:u w:val="single"/>
          <w:lang w:bidi="ar"/>
        </w:rPr>
        <w:t xml:space="preserve">                              </w:t>
      </w:r>
    </w:p>
    <w:p w14:paraId="35F9B65C">
      <w:pPr>
        <w:spacing w:line="280" w:lineRule="exact"/>
        <w:jc w:val="left"/>
        <w:rPr>
          <w:rFonts w:ascii="宋体" w:hAnsi="宋体" w:eastAsia="宋体" w:cs="宋体"/>
          <w:color w:val="auto"/>
          <w:sz w:val="24"/>
          <w:u w:val="single"/>
        </w:rPr>
      </w:pPr>
      <w:r>
        <w:rPr>
          <w:rFonts w:hint="eastAsia" w:ascii="宋体" w:hAnsi="宋体" w:eastAsia="宋体" w:cs="宋体"/>
          <w:color w:val="auto"/>
          <w:kern w:val="0"/>
          <w:sz w:val="24"/>
          <w:lang w:bidi="ar"/>
        </w:rPr>
        <w:t>供应商名称（公章）：</w:t>
      </w:r>
      <w:r>
        <w:rPr>
          <w:rFonts w:hint="eastAsia" w:ascii="宋体" w:hAnsi="宋体" w:eastAsia="宋体" w:cs="宋体"/>
          <w:color w:val="auto"/>
          <w:kern w:val="0"/>
          <w:sz w:val="24"/>
          <w:u w:val="single"/>
          <w:lang w:bidi="ar"/>
        </w:rPr>
        <w:t xml:space="preserve">                         </w:t>
      </w:r>
    </w:p>
    <w:p w14:paraId="18DE36BB">
      <w:pPr>
        <w:tabs>
          <w:tab w:val="left" w:pos="3780"/>
        </w:tabs>
        <w:adjustRightInd w:val="0"/>
        <w:snapToGrid w:val="0"/>
        <w:spacing w:line="280" w:lineRule="exact"/>
        <w:ind w:right="480"/>
        <w:rPr>
          <w:rFonts w:hint="eastAsia" w:ascii="宋体" w:hAnsi="宋体" w:eastAsia="宋体" w:cs="宋体"/>
          <w:bCs/>
          <w:color w:val="auto"/>
          <w:kern w:val="0"/>
          <w:sz w:val="24"/>
          <w:lang w:bidi="ar"/>
        </w:rPr>
      </w:pPr>
      <w:r>
        <w:rPr>
          <w:rFonts w:hint="eastAsia" w:ascii="宋体" w:hAnsi="宋体" w:eastAsia="宋体" w:cs="宋体"/>
          <w:bCs/>
          <w:color w:val="auto"/>
          <w:kern w:val="0"/>
          <w:sz w:val="24"/>
          <w:lang w:bidi="ar"/>
        </w:rPr>
        <w:t>日期：</w:t>
      </w:r>
    </w:p>
    <w:p w14:paraId="275E1471">
      <w:pPr>
        <w:pStyle w:val="2"/>
        <w:rPr>
          <w:color w:val="auto"/>
        </w:rPr>
      </w:pPr>
    </w:p>
    <w:p w14:paraId="01CCF0BB">
      <w:pPr>
        <w:pStyle w:val="6"/>
        <w:spacing w:line="280" w:lineRule="exact"/>
        <w:rPr>
          <w:rFonts w:ascii="宋体" w:hAnsi="宋体" w:eastAsia="宋体" w:cs="宋体"/>
          <w:b/>
          <w:bCs/>
          <w:color w:val="auto"/>
          <w:sz w:val="24"/>
          <w:szCs w:val="24"/>
        </w:rPr>
      </w:pPr>
      <w:r>
        <w:rPr>
          <w:color w:val="auto"/>
        </w:rPr>
        <w:t xml:space="preserve">    </w:t>
      </w:r>
      <w:r>
        <w:rPr>
          <w:rFonts w:hint="eastAsia"/>
          <w:color w:val="auto"/>
        </w:rPr>
        <w:t xml:space="preserve">                   </w:t>
      </w:r>
      <w:r>
        <w:rPr>
          <w:rFonts w:hint="eastAsia"/>
          <w:color w:val="auto"/>
          <w:sz w:val="28"/>
          <w:szCs w:val="28"/>
        </w:rPr>
        <w:t xml:space="preserve"> </w:t>
      </w:r>
      <w:r>
        <w:rPr>
          <w:rFonts w:hint="eastAsia" w:eastAsia="宋体"/>
          <w:color w:val="auto"/>
          <w:sz w:val="28"/>
          <w:szCs w:val="28"/>
        </w:rPr>
        <w:t xml:space="preserve">     </w:t>
      </w: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格式</w:t>
      </w: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、中小企业声明函</w:t>
      </w:r>
    </w:p>
    <w:p w14:paraId="0CB6541A">
      <w:pPr>
        <w:pStyle w:val="6"/>
        <w:spacing w:line="2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（单位名称），参加的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（项目名称）采购活动，服务全部由符合政策要求的中小型企业承接。相关企业（含联合体中的中小企业、签订分包意向协议的中小企业）的具体情况如下：</w:t>
      </w:r>
    </w:p>
    <w:p w14:paraId="7DECB4A6">
      <w:pPr>
        <w:shd w:val="clear" w:color="auto" w:fill="FFFFFF"/>
        <w:spacing w:before="100" w:after="100" w:line="2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1. </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 xml:space="preserve"> ，属于</w:t>
      </w:r>
      <w:r>
        <w:rPr>
          <w:rFonts w:hint="eastAsia" w:ascii="宋体" w:hAnsi="宋体" w:eastAsia="宋体" w:cs="宋体"/>
          <w:color w:val="auto"/>
          <w:sz w:val="24"/>
          <w:u w:val="single"/>
        </w:rPr>
        <w:t xml:space="preserve">    （采购文件中明确的所属行业）</w:t>
      </w:r>
      <w:r>
        <w:rPr>
          <w:rFonts w:hint="eastAsia" w:ascii="宋体" w:hAnsi="宋体" w:eastAsia="宋体" w:cs="宋体"/>
          <w:color w:val="auto"/>
          <w:sz w:val="24"/>
        </w:rPr>
        <w:t>行业；</w:t>
      </w:r>
      <w:r>
        <w:rPr>
          <w:rFonts w:hint="eastAsia" w:ascii="宋体" w:hAnsi="宋体" w:cs="宋体"/>
          <w:color w:val="auto"/>
          <w:sz w:val="24"/>
        </w:rPr>
        <w:t>承接企业</w:t>
      </w:r>
      <w:r>
        <w:rPr>
          <w:rFonts w:hint="eastAsia" w:ascii="宋体" w:hAnsi="宋体" w:eastAsia="宋体" w:cs="宋体"/>
          <w:color w:val="auto"/>
          <w:sz w:val="24"/>
        </w:rPr>
        <w:t>为</w:t>
      </w:r>
      <w:r>
        <w:rPr>
          <w:rFonts w:hint="eastAsia" w:ascii="宋体" w:hAnsi="宋体" w:eastAsia="宋体" w:cs="宋体"/>
          <w:color w:val="auto"/>
          <w:sz w:val="24"/>
          <w:u w:val="single"/>
        </w:rPr>
        <w:t xml:space="preserve">   （企业名称）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w:t>
      </w:r>
      <w:r>
        <w:rPr>
          <w:rFonts w:hint="eastAsia" w:ascii="宋体" w:hAnsi="宋体" w:eastAsia="宋体" w:cs="宋体"/>
          <w:color w:val="auto"/>
          <w:sz w:val="24"/>
        </w:rPr>
        <w:t>；</w:t>
      </w:r>
    </w:p>
    <w:p w14:paraId="76DACCCE">
      <w:pPr>
        <w:shd w:val="clear" w:color="auto" w:fill="FFFFFF"/>
        <w:spacing w:before="100" w:after="100" w:line="2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2. </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 xml:space="preserve"> ，属于</w:t>
      </w:r>
      <w:r>
        <w:rPr>
          <w:rFonts w:hint="eastAsia" w:ascii="宋体" w:hAnsi="宋体" w:eastAsia="宋体" w:cs="宋体"/>
          <w:color w:val="auto"/>
          <w:sz w:val="24"/>
          <w:u w:val="single"/>
        </w:rPr>
        <w:t xml:space="preserve">    （采购文件中明确的所属行业）</w:t>
      </w:r>
      <w:r>
        <w:rPr>
          <w:rFonts w:hint="eastAsia" w:ascii="宋体" w:hAnsi="宋体" w:eastAsia="宋体" w:cs="宋体"/>
          <w:color w:val="auto"/>
          <w:sz w:val="24"/>
        </w:rPr>
        <w:t>行业；</w:t>
      </w:r>
      <w:r>
        <w:rPr>
          <w:rFonts w:hint="eastAsia" w:ascii="宋体" w:hAnsi="宋体" w:cs="宋体"/>
          <w:color w:val="auto"/>
          <w:sz w:val="24"/>
        </w:rPr>
        <w:t>承接企业</w:t>
      </w:r>
      <w:r>
        <w:rPr>
          <w:rFonts w:hint="eastAsia" w:ascii="宋体" w:hAnsi="宋体" w:eastAsia="宋体" w:cs="宋体"/>
          <w:color w:val="auto"/>
          <w:sz w:val="24"/>
        </w:rPr>
        <w:t>为</w:t>
      </w:r>
      <w:r>
        <w:rPr>
          <w:rFonts w:hint="eastAsia" w:ascii="宋体" w:hAnsi="宋体" w:eastAsia="宋体" w:cs="宋体"/>
          <w:color w:val="auto"/>
          <w:sz w:val="24"/>
          <w:u w:val="single"/>
        </w:rPr>
        <w:t xml:space="preserve">   （企业名称）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w:t>
      </w:r>
      <w:r>
        <w:rPr>
          <w:rFonts w:hint="eastAsia" w:ascii="宋体" w:hAnsi="宋体" w:eastAsia="宋体" w:cs="宋体"/>
          <w:color w:val="auto"/>
          <w:sz w:val="24"/>
        </w:rPr>
        <w:t>；</w:t>
      </w:r>
    </w:p>
    <w:p w14:paraId="15617688">
      <w:pPr>
        <w:shd w:val="clear" w:color="auto" w:fill="FFFFFF"/>
        <w:spacing w:before="100" w:after="100" w:line="280" w:lineRule="exact"/>
        <w:jc w:val="left"/>
        <w:rPr>
          <w:rFonts w:ascii="宋体" w:hAnsi="宋体" w:eastAsia="宋体" w:cs="宋体"/>
          <w:color w:val="auto"/>
          <w:sz w:val="24"/>
        </w:rPr>
      </w:pPr>
      <w:r>
        <w:rPr>
          <w:rFonts w:hint="eastAsia" w:ascii="宋体" w:hAnsi="宋体" w:eastAsia="宋体" w:cs="宋体"/>
          <w:color w:val="auto"/>
          <w:sz w:val="24"/>
        </w:rPr>
        <w:t>……</w:t>
      </w:r>
    </w:p>
    <w:p w14:paraId="7D5D4A34">
      <w:pPr>
        <w:shd w:val="clear" w:color="auto" w:fill="FFFFFF"/>
        <w:spacing w:before="100" w:after="100" w:line="2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17A56FAF">
      <w:pPr>
        <w:shd w:val="clear" w:color="auto" w:fill="FFFFFF"/>
        <w:spacing w:before="100" w:after="100" w:line="2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5A5E2109">
      <w:pPr>
        <w:shd w:val="clear" w:color="auto" w:fill="FFFFFF"/>
        <w:spacing w:before="100" w:after="100" w:line="280" w:lineRule="exact"/>
        <w:jc w:val="left"/>
        <w:rPr>
          <w:rFonts w:ascii="宋体" w:hAnsi="宋体" w:eastAsia="宋体" w:cs="宋体"/>
          <w:color w:val="auto"/>
          <w:sz w:val="24"/>
        </w:rPr>
      </w:pPr>
      <w:r>
        <w:rPr>
          <w:rFonts w:hint="eastAsia" w:ascii="宋体" w:hAnsi="宋体" w:eastAsia="宋体" w:cs="宋体"/>
          <w:color w:val="auto"/>
          <w:sz w:val="24"/>
        </w:rPr>
        <w:t>企业名称（盖章）：</w:t>
      </w:r>
    </w:p>
    <w:p w14:paraId="02AC6AC4">
      <w:pPr>
        <w:shd w:val="clear" w:color="auto" w:fill="FFFFFF"/>
        <w:spacing w:before="100" w:after="100" w:line="280" w:lineRule="exact"/>
        <w:jc w:val="left"/>
        <w:rPr>
          <w:rFonts w:ascii="宋体" w:hAnsi="宋体" w:eastAsia="宋体" w:cs="宋体"/>
          <w:color w:val="auto"/>
          <w:sz w:val="24"/>
        </w:rPr>
      </w:pPr>
      <w:r>
        <w:rPr>
          <w:rFonts w:hint="eastAsia" w:ascii="宋体" w:hAnsi="宋体" w:eastAsia="宋体" w:cs="宋体"/>
          <w:color w:val="auto"/>
          <w:sz w:val="24"/>
        </w:rPr>
        <w:t>日 期：</w:t>
      </w:r>
    </w:p>
    <w:p w14:paraId="57FF8155">
      <w:pPr>
        <w:shd w:val="clear" w:color="auto" w:fill="FFFFFF"/>
        <w:spacing w:before="100" w:after="100" w:line="320" w:lineRule="exact"/>
        <w:ind w:left="1446" w:hanging="1446" w:hangingChars="600"/>
        <w:jc w:val="left"/>
        <w:rPr>
          <w:rFonts w:ascii="宋体" w:hAnsi="宋体" w:cs="宋体"/>
          <w:color w:val="auto"/>
          <w:sz w:val="24"/>
        </w:rPr>
      </w:pPr>
      <w:r>
        <w:rPr>
          <w:rFonts w:hint="eastAsia" w:ascii="宋体" w:hAnsi="宋体" w:eastAsia="宋体" w:cs="宋体"/>
          <w:b/>
          <w:bCs/>
          <w:color w:val="auto"/>
          <w:sz w:val="24"/>
        </w:rPr>
        <w:t>从业人员、营业收入、资产总额填报上一年度数据，无上一年度数据的新成立企业可不填报。</w:t>
      </w:r>
      <w:r>
        <w:rPr>
          <w:rFonts w:ascii="宋体" w:hAnsi="宋体" w:cs="宋体"/>
          <w:color w:val="auto"/>
          <w:sz w:val="24"/>
        </w:rPr>
        <w:t xml:space="preserve">                                 </w:t>
      </w:r>
      <w:bookmarkStart w:id="1676" w:name="_Toc24801"/>
      <w:bookmarkStart w:id="1677" w:name="_Toc8289"/>
    </w:p>
    <w:p w14:paraId="29B3A9D9">
      <w:pPr>
        <w:shd w:val="clear" w:color="auto" w:fill="FFFFFF"/>
        <w:spacing w:before="100" w:after="100" w:line="320" w:lineRule="exact"/>
        <w:ind w:left="1440" w:hanging="1440" w:hangingChars="600"/>
        <w:jc w:val="left"/>
        <w:rPr>
          <w:rFonts w:ascii="宋体" w:hAnsi="宋体" w:cs="宋体"/>
          <w:color w:val="auto"/>
          <w:sz w:val="24"/>
        </w:rPr>
      </w:pPr>
    </w:p>
    <w:p w14:paraId="496D20F5">
      <w:pPr>
        <w:pStyle w:val="2"/>
        <w:rPr>
          <w:rFonts w:ascii="宋体" w:hAnsi="宋体" w:cs="宋体"/>
          <w:color w:val="auto"/>
          <w:sz w:val="24"/>
        </w:rPr>
      </w:pPr>
    </w:p>
    <w:p w14:paraId="5F46237A">
      <w:pPr>
        <w:pStyle w:val="5"/>
        <w:rPr>
          <w:rFonts w:ascii="宋体" w:hAnsi="宋体" w:cs="宋体"/>
          <w:color w:val="auto"/>
          <w:sz w:val="24"/>
        </w:rPr>
      </w:pPr>
    </w:p>
    <w:p w14:paraId="52F17367">
      <w:pPr>
        <w:rPr>
          <w:rFonts w:ascii="宋体" w:hAnsi="宋体" w:cs="宋体"/>
          <w:color w:val="auto"/>
          <w:sz w:val="24"/>
        </w:rPr>
      </w:pPr>
    </w:p>
    <w:p w14:paraId="73E49118">
      <w:pPr>
        <w:pStyle w:val="2"/>
        <w:rPr>
          <w:rFonts w:ascii="宋体" w:hAnsi="宋体" w:cs="宋体"/>
          <w:color w:val="auto"/>
          <w:sz w:val="24"/>
        </w:rPr>
      </w:pPr>
    </w:p>
    <w:p w14:paraId="2EBC4FD0">
      <w:pPr>
        <w:pStyle w:val="5"/>
        <w:rPr>
          <w:rFonts w:ascii="宋体" w:hAnsi="宋体" w:cs="宋体"/>
          <w:color w:val="auto"/>
          <w:sz w:val="24"/>
        </w:rPr>
      </w:pPr>
    </w:p>
    <w:p w14:paraId="43FBEB13">
      <w:pPr>
        <w:rPr>
          <w:rFonts w:ascii="宋体" w:hAnsi="宋体" w:cs="宋体"/>
          <w:color w:val="auto"/>
          <w:sz w:val="24"/>
        </w:rPr>
      </w:pPr>
    </w:p>
    <w:p w14:paraId="7CD6F847">
      <w:pPr>
        <w:pStyle w:val="2"/>
        <w:rPr>
          <w:color w:val="auto"/>
        </w:rPr>
      </w:pPr>
    </w:p>
    <w:bookmarkEnd w:id="1672"/>
    <w:bookmarkEnd w:id="1673"/>
    <w:bookmarkEnd w:id="1674"/>
    <w:bookmarkEnd w:id="1675"/>
    <w:bookmarkEnd w:id="1676"/>
    <w:bookmarkEnd w:id="1677"/>
    <w:p w14:paraId="7E518D2B">
      <w:pPr>
        <w:pStyle w:val="8"/>
        <w:jc w:val="center"/>
        <w:rPr>
          <w:rFonts w:hint="eastAsia" w:ascii="宋体" w:hAnsi="宋体" w:eastAsia="宋体" w:cs="宋体"/>
          <w:color w:val="auto"/>
        </w:rPr>
      </w:pPr>
      <w:bookmarkStart w:id="1678" w:name="_Toc2888"/>
      <w:r>
        <w:rPr>
          <w:rFonts w:hint="eastAsia" w:ascii="宋体" w:hAnsi="宋体" w:eastAsia="宋体" w:cs="宋体"/>
          <w:color w:val="auto"/>
        </w:rPr>
        <w:t>第八章 最终报价或第</w:t>
      </w:r>
      <w:r>
        <w:rPr>
          <w:rFonts w:hint="eastAsia" w:ascii="宋体" w:hAnsi="宋体" w:eastAsia="宋体" w:cs="宋体"/>
          <w:color w:val="auto"/>
          <w:u w:val="single"/>
        </w:rPr>
        <w:t xml:space="preserve">   </w:t>
      </w:r>
      <w:r>
        <w:rPr>
          <w:rFonts w:hint="eastAsia" w:ascii="宋体" w:hAnsi="宋体" w:eastAsia="宋体" w:cs="宋体"/>
          <w:color w:val="auto"/>
        </w:rPr>
        <w:t>次报价表</w:t>
      </w:r>
      <w:bookmarkEnd w:id="1678"/>
    </w:p>
    <w:p w14:paraId="694C15DA">
      <w:pPr>
        <w:autoSpaceDE w:val="0"/>
        <w:autoSpaceDN w:val="0"/>
        <w:adjustRightInd w:val="0"/>
        <w:ind w:firstLine="3213" w:firstLineChars="1000"/>
        <w:jc w:val="left"/>
        <w:rPr>
          <w:rFonts w:hint="eastAsia" w:ascii="宋体" w:hAnsi="宋体" w:eastAsia="宋体" w:cs="宋体"/>
          <w:color w:val="auto"/>
          <w:sz w:val="32"/>
          <w:szCs w:val="32"/>
          <w:lang w:val="zh-CN"/>
        </w:rPr>
      </w:pPr>
      <w:r>
        <w:rPr>
          <w:rFonts w:hint="eastAsia" w:ascii="宋体" w:hAnsi="宋体" w:eastAsia="宋体" w:cs="宋体"/>
          <w:b/>
          <w:color w:val="auto"/>
          <w:kern w:val="0"/>
          <w:sz w:val="32"/>
          <w:szCs w:val="32"/>
          <w:lang w:val="zh-CN" w:bidi="ar"/>
        </w:rPr>
        <w:t>最终报价或第</w:t>
      </w:r>
      <w:r>
        <w:rPr>
          <w:rFonts w:hint="eastAsia" w:ascii="宋体" w:hAnsi="宋体" w:eastAsia="宋体" w:cs="宋体"/>
          <w:b/>
          <w:color w:val="auto"/>
          <w:kern w:val="0"/>
          <w:sz w:val="32"/>
          <w:szCs w:val="32"/>
          <w:u w:val="single"/>
          <w:lang w:bidi="ar"/>
        </w:rPr>
        <w:t xml:space="preserve">   </w:t>
      </w:r>
      <w:r>
        <w:rPr>
          <w:rFonts w:hint="eastAsia" w:ascii="宋体" w:hAnsi="宋体" w:eastAsia="宋体" w:cs="宋体"/>
          <w:b/>
          <w:color w:val="auto"/>
          <w:kern w:val="0"/>
          <w:sz w:val="32"/>
          <w:szCs w:val="32"/>
          <w:lang w:val="zh-CN" w:bidi="ar"/>
        </w:rPr>
        <w:t>次报价表</w:t>
      </w:r>
    </w:p>
    <w:p w14:paraId="47C711AB">
      <w:pPr>
        <w:widowControl/>
        <w:wordWrap w:val="0"/>
        <w:spacing w:line="340" w:lineRule="exact"/>
        <w:rPr>
          <w:rFonts w:hint="eastAsia" w:ascii="宋体" w:hAnsi="宋体" w:eastAsia="宋体" w:cs="宋体"/>
          <w:b/>
          <w:bCs/>
          <w:color w:val="auto"/>
          <w:kern w:val="0"/>
          <w:sz w:val="24"/>
          <w:szCs w:val="24"/>
          <w:lang w:val="zh-CN" w:eastAsia="zh-CN" w:bidi="ar"/>
        </w:rPr>
      </w:pPr>
      <w:r>
        <w:rPr>
          <w:rFonts w:hint="eastAsia" w:ascii="宋体" w:hAnsi="宋体" w:eastAsia="宋体" w:cs="宋体"/>
          <w:b/>
          <w:bCs/>
          <w:color w:val="auto"/>
          <w:kern w:val="0"/>
          <w:sz w:val="24"/>
          <w:szCs w:val="24"/>
          <w:lang w:bidi="ar"/>
        </w:rPr>
        <w:t>项目名称：</w:t>
      </w:r>
    </w:p>
    <w:tbl>
      <w:tblPr>
        <w:tblStyle w:val="15"/>
        <w:tblpPr w:leftFromText="180" w:rightFromText="180" w:vertAnchor="text" w:horzAnchor="page" w:tblpX="1045" w:tblpY="396"/>
        <w:tblOverlap w:val="never"/>
        <w:tblW w:w="9902" w:type="dxa"/>
        <w:tblInd w:w="0" w:type="dxa"/>
        <w:tblLayout w:type="fixed"/>
        <w:tblCellMar>
          <w:top w:w="0" w:type="dxa"/>
          <w:left w:w="10" w:type="dxa"/>
          <w:bottom w:w="0" w:type="dxa"/>
          <w:right w:w="10" w:type="dxa"/>
        </w:tblCellMar>
      </w:tblPr>
      <w:tblGrid>
        <w:gridCol w:w="2161"/>
        <w:gridCol w:w="7741"/>
      </w:tblGrid>
      <w:tr w14:paraId="008CED7B">
        <w:tblPrEx>
          <w:tblCellMar>
            <w:top w:w="0" w:type="dxa"/>
            <w:left w:w="10" w:type="dxa"/>
            <w:bottom w:w="0" w:type="dxa"/>
            <w:right w:w="10" w:type="dxa"/>
          </w:tblCellMar>
        </w:tblPrEx>
        <w:trPr>
          <w:trHeight w:val="569" w:hRule="atLeast"/>
        </w:trPr>
        <w:tc>
          <w:tcPr>
            <w:tcW w:w="2161" w:type="dxa"/>
            <w:tcBorders>
              <w:top w:val="single" w:color="auto" w:sz="6" w:space="0"/>
              <w:left w:val="single" w:color="auto" w:sz="6" w:space="0"/>
              <w:bottom w:val="single" w:color="auto" w:sz="6" w:space="0"/>
              <w:right w:val="single" w:color="auto" w:sz="6" w:space="0"/>
            </w:tcBorders>
            <w:shd w:val="clear" w:color="auto" w:fill="auto"/>
            <w:vAlign w:val="center"/>
          </w:tcPr>
          <w:p w14:paraId="2CE6FA6A">
            <w:pPr>
              <w:autoSpaceDE w:val="0"/>
              <w:autoSpaceDN w:val="0"/>
              <w:adjustRightInd w:val="0"/>
              <w:spacing w:line="360" w:lineRule="auto"/>
              <w:jc w:val="center"/>
              <w:rPr>
                <w:rFonts w:hint="eastAsia" w:ascii="宋体" w:hAnsi="宋体" w:eastAsia="宋体" w:cs="宋体"/>
                <w:b/>
                <w:color w:val="auto"/>
                <w:sz w:val="24"/>
                <w:szCs w:val="24"/>
                <w:lang w:val="zh-CN"/>
              </w:rPr>
            </w:pPr>
            <w:r>
              <w:rPr>
                <w:rFonts w:hint="eastAsia" w:ascii="宋体" w:hAnsi="宋体" w:eastAsia="宋体" w:cs="宋体"/>
                <w:b/>
                <w:color w:val="auto"/>
                <w:kern w:val="0"/>
                <w:sz w:val="24"/>
                <w:szCs w:val="24"/>
                <w:lang w:val="zh-CN" w:bidi="ar"/>
              </w:rPr>
              <w:t>磋商供应商名称</w:t>
            </w:r>
          </w:p>
        </w:tc>
        <w:tc>
          <w:tcPr>
            <w:tcW w:w="7741" w:type="dxa"/>
            <w:tcBorders>
              <w:top w:val="single" w:color="auto" w:sz="6" w:space="0"/>
              <w:left w:val="single" w:color="auto" w:sz="6" w:space="0"/>
              <w:bottom w:val="single" w:color="auto" w:sz="6" w:space="0"/>
              <w:right w:val="single" w:color="auto" w:sz="6" w:space="0"/>
            </w:tcBorders>
            <w:shd w:val="clear" w:color="auto" w:fill="auto"/>
          </w:tcPr>
          <w:p w14:paraId="7248A152">
            <w:pPr>
              <w:autoSpaceDE w:val="0"/>
              <w:autoSpaceDN w:val="0"/>
              <w:adjustRightInd w:val="0"/>
              <w:spacing w:line="360" w:lineRule="auto"/>
              <w:jc w:val="left"/>
              <w:rPr>
                <w:rFonts w:hint="eastAsia" w:ascii="宋体" w:hAnsi="宋体" w:eastAsia="宋体" w:cs="宋体"/>
                <w:b/>
                <w:color w:val="auto"/>
                <w:sz w:val="24"/>
                <w:szCs w:val="24"/>
                <w:lang w:val="zh-CN"/>
              </w:rPr>
            </w:pPr>
          </w:p>
        </w:tc>
      </w:tr>
      <w:tr w14:paraId="3F7662C2">
        <w:tblPrEx>
          <w:tblCellMar>
            <w:top w:w="0" w:type="dxa"/>
            <w:left w:w="10" w:type="dxa"/>
            <w:bottom w:w="0" w:type="dxa"/>
            <w:right w:w="10" w:type="dxa"/>
          </w:tblCellMar>
        </w:tblPrEx>
        <w:trPr>
          <w:trHeight w:val="1457" w:hRule="atLeast"/>
        </w:trPr>
        <w:tc>
          <w:tcPr>
            <w:tcW w:w="2161" w:type="dxa"/>
            <w:tcBorders>
              <w:top w:val="single" w:color="auto" w:sz="6" w:space="0"/>
              <w:left w:val="single" w:color="auto" w:sz="6" w:space="0"/>
              <w:bottom w:val="single" w:color="auto" w:sz="6" w:space="0"/>
              <w:right w:val="single" w:color="auto" w:sz="6" w:space="0"/>
            </w:tcBorders>
            <w:shd w:val="clear" w:color="auto" w:fill="auto"/>
            <w:vAlign w:val="center"/>
          </w:tcPr>
          <w:p w14:paraId="69508614">
            <w:pPr>
              <w:autoSpaceDE w:val="0"/>
              <w:autoSpaceDN w:val="0"/>
              <w:adjustRightIn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lang w:val="zh-CN" w:bidi="ar"/>
              </w:rPr>
              <w:t>最终投标总价</w:t>
            </w:r>
          </w:p>
          <w:p w14:paraId="1EAD3B24">
            <w:pPr>
              <w:autoSpaceDE w:val="0"/>
              <w:autoSpaceDN w:val="0"/>
              <w:adjustRightIn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lang w:val="zh-CN" w:bidi="ar"/>
              </w:rPr>
              <w:t>（详见备注说明）</w:t>
            </w:r>
          </w:p>
        </w:tc>
        <w:tc>
          <w:tcPr>
            <w:tcW w:w="7741" w:type="dxa"/>
            <w:tcBorders>
              <w:top w:val="single" w:color="auto" w:sz="6" w:space="0"/>
              <w:left w:val="single" w:color="auto" w:sz="6" w:space="0"/>
              <w:bottom w:val="single" w:color="auto" w:sz="6" w:space="0"/>
              <w:right w:val="single" w:color="auto" w:sz="6" w:space="0"/>
            </w:tcBorders>
            <w:shd w:val="clear" w:color="auto" w:fill="auto"/>
            <w:vAlign w:val="center"/>
          </w:tcPr>
          <w:p w14:paraId="5FD30608">
            <w:pPr>
              <w:autoSpaceDE w:val="0"/>
              <w:autoSpaceDN w:val="0"/>
              <w:adjustRightInd w:val="0"/>
              <w:spacing w:line="360" w:lineRule="auto"/>
              <w:ind w:firstLine="1446" w:firstLineChars="600"/>
              <w:jc w:val="left"/>
              <w:rPr>
                <w:rFonts w:hint="eastAsia" w:ascii="宋体" w:hAnsi="宋体" w:eastAsia="宋体" w:cs="宋体"/>
                <w:b/>
                <w:color w:val="auto"/>
                <w:sz w:val="24"/>
                <w:szCs w:val="24"/>
                <w:lang w:val="zh-CN"/>
              </w:rPr>
            </w:pPr>
          </w:p>
        </w:tc>
      </w:tr>
      <w:tr w14:paraId="739642F6">
        <w:tblPrEx>
          <w:tblCellMar>
            <w:top w:w="0" w:type="dxa"/>
            <w:left w:w="10" w:type="dxa"/>
            <w:bottom w:w="0" w:type="dxa"/>
            <w:right w:w="10" w:type="dxa"/>
          </w:tblCellMar>
        </w:tblPrEx>
        <w:trPr>
          <w:trHeight w:val="1135" w:hRule="atLeast"/>
        </w:trPr>
        <w:tc>
          <w:tcPr>
            <w:tcW w:w="2161" w:type="dxa"/>
            <w:tcBorders>
              <w:top w:val="single" w:color="auto" w:sz="6" w:space="0"/>
              <w:left w:val="single" w:color="auto" w:sz="6" w:space="0"/>
              <w:bottom w:val="single" w:color="auto" w:sz="6" w:space="0"/>
              <w:right w:val="single" w:color="auto" w:sz="6" w:space="0"/>
            </w:tcBorders>
            <w:shd w:val="clear" w:color="auto" w:fill="auto"/>
            <w:vAlign w:val="center"/>
          </w:tcPr>
          <w:p w14:paraId="5E886142">
            <w:pPr>
              <w:autoSpaceDE w:val="0"/>
              <w:autoSpaceDN w:val="0"/>
              <w:adjustRightInd w:val="0"/>
              <w:spacing w:line="360" w:lineRule="auto"/>
              <w:jc w:val="center"/>
              <w:rPr>
                <w:rFonts w:hint="eastAsia" w:ascii="宋体" w:hAnsi="宋体" w:eastAsia="宋体" w:cs="宋体"/>
                <w:b/>
                <w:color w:val="auto"/>
                <w:sz w:val="24"/>
                <w:szCs w:val="24"/>
                <w:lang w:val="zh-CN"/>
              </w:rPr>
            </w:pPr>
            <w:r>
              <w:rPr>
                <w:rFonts w:hint="eastAsia" w:ascii="宋体" w:hAnsi="宋体" w:eastAsia="宋体" w:cs="宋体"/>
                <w:b/>
                <w:color w:val="auto"/>
                <w:kern w:val="0"/>
                <w:sz w:val="24"/>
                <w:szCs w:val="24"/>
                <w:lang w:val="zh-CN" w:bidi="ar"/>
              </w:rPr>
              <w:t>是否响应付款方式</w:t>
            </w:r>
          </w:p>
        </w:tc>
        <w:tc>
          <w:tcPr>
            <w:tcW w:w="7741" w:type="dxa"/>
            <w:tcBorders>
              <w:top w:val="single" w:color="auto" w:sz="6" w:space="0"/>
              <w:left w:val="single" w:color="auto" w:sz="6" w:space="0"/>
              <w:bottom w:val="single" w:color="auto" w:sz="6" w:space="0"/>
              <w:right w:val="single" w:color="auto" w:sz="6" w:space="0"/>
            </w:tcBorders>
            <w:shd w:val="clear" w:color="auto" w:fill="auto"/>
            <w:vAlign w:val="center"/>
          </w:tcPr>
          <w:p w14:paraId="14C8FCD7">
            <w:pPr>
              <w:autoSpaceDE w:val="0"/>
              <w:autoSpaceDN w:val="0"/>
              <w:adjustRightInd w:val="0"/>
              <w:spacing w:line="360" w:lineRule="auto"/>
              <w:ind w:firstLine="240" w:firstLineChars="100"/>
              <w:jc w:val="left"/>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bidi="ar"/>
              </w:rPr>
              <w:t>是</w:t>
            </w:r>
            <w:r>
              <w:rPr>
                <w:rFonts w:hint="eastAsia" w:ascii="宋体" w:hAnsi="宋体" w:eastAsia="宋体" w:cs="宋体"/>
                <w:color w:val="auto"/>
                <w:kern w:val="0"/>
                <w:sz w:val="24"/>
                <w:szCs w:val="24"/>
                <w:lang w:val="zh-CN" w:bidi="ar"/>
              </w:rPr>
              <w:sym w:font="Wingdings 2" w:char="00A3"/>
            </w:r>
            <w:r>
              <w:rPr>
                <w:rFonts w:hint="eastAsia" w:ascii="宋体" w:hAnsi="宋体" w:eastAsia="宋体" w:cs="宋体"/>
                <w:color w:val="auto"/>
                <w:kern w:val="0"/>
                <w:sz w:val="24"/>
                <w:szCs w:val="24"/>
                <w:lang w:val="zh-CN" w:bidi="ar"/>
              </w:rPr>
              <w:t xml:space="preserve">    否□   （划√）</w:t>
            </w:r>
          </w:p>
        </w:tc>
      </w:tr>
      <w:tr w14:paraId="29FBC67C">
        <w:tblPrEx>
          <w:tblCellMar>
            <w:top w:w="0" w:type="dxa"/>
            <w:left w:w="10" w:type="dxa"/>
            <w:bottom w:w="0" w:type="dxa"/>
            <w:right w:w="10" w:type="dxa"/>
          </w:tblCellMar>
        </w:tblPrEx>
        <w:trPr>
          <w:trHeight w:val="1161" w:hRule="atLeast"/>
        </w:trPr>
        <w:tc>
          <w:tcPr>
            <w:tcW w:w="2161" w:type="dxa"/>
            <w:tcBorders>
              <w:top w:val="single" w:color="auto" w:sz="6" w:space="0"/>
              <w:left w:val="single" w:color="auto" w:sz="6" w:space="0"/>
              <w:bottom w:val="single" w:color="auto" w:sz="6" w:space="0"/>
              <w:right w:val="single" w:color="auto" w:sz="6" w:space="0"/>
            </w:tcBorders>
            <w:shd w:val="clear" w:color="auto" w:fill="auto"/>
            <w:vAlign w:val="center"/>
          </w:tcPr>
          <w:p w14:paraId="6737F354">
            <w:pPr>
              <w:autoSpaceDE w:val="0"/>
              <w:autoSpaceDN w:val="0"/>
              <w:adjustRightInd w:val="0"/>
              <w:spacing w:line="360" w:lineRule="auto"/>
              <w:jc w:val="center"/>
              <w:rPr>
                <w:rFonts w:hint="eastAsia" w:ascii="宋体" w:hAnsi="宋体" w:eastAsia="宋体" w:cs="宋体"/>
                <w:b/>
                <w:color w:val="auto"/>
                <w:sz w:val="24"/>
                <w:szCs w:val="24"/>
                <w:lang w:val="zh-CN"/>
              </w:rPr>
            </w:pPr>
            <w:r>
              <w:rPr>
                <w:rFonts w:hint="eastAsia" w:ascii="宋体" w:hAnsi="宋体" w:eastAsia="宋体" w:cs="宋体"/>
                <w:b/>
                <w:color w:val="auto"/>
                <w:kern w:val="0"/>
                <w:sz w:val="24"/>
                <w:szCs w:val="24"/>
                <w:lang w:val="zh-CN" w:bidi="ar"/>
              </w:rPr>
              <w:t>服务期</w:t>
            </w:r>
          </w:p>
        </w:tc>
        <w:tc>
          <w:tcPr>
            <w:tcW w:w="7741" w:type="dxa"/>
            <w:tcBorders>
              <w:top w:val="single" w:color="auto" w:sz="6" w:space="0"/>
              <w:left w:val="single" w:color="auto" w:sz="6" w:space="0"/>
              <w:bottom w:val="single" w:color="auto" w:sz="6" w:space="0"/>
              <w:right w:val="single" w:color="auto" w:sz="6" w:space="0"/>
            </w:tcBorders>
            <w:shd w:val="clear" w:color="auto" w:fill="auto"/>
            <w:vAlign w:val="center"/>
          </w:tcPr>
          <w:p w14:paraId="1E50971C">
            <w:pPr>
              <w:autoSpaceDE w:val="0"/>
              <w:autoSpaceDN w:val="0"/>
              <w:adjustRightInd w:val="0"/>
              <w:spacing w:line="360" w:lineRule="auto"/>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tc>
      </w:tr>
      <w:tr w14:paraId="27A3E4BE">
        <w:tblPrEx>
          <w:tblCellMar>
            <w:top w:w="0" w:type="dxa"/>
            <w:left w:w="10" w:type="dxa"/>
            <w:bottom w:w="0" w:type="dxa"/>
            <w:right w:w="10" w:type="dxa"/>
          </w:tblCellMar>
        </w:tblPrEx>
        <w:trPr>
          <w:trHeight w:val="3188" w:hRule="atLeast"/>
        </w:trPr>
        <w:tc>
          <w:tcPr>
            <w:tcW w:w="2161" w:type="dxa"/>
            <w:tcBorders>
              <w:top w:val="single" w:color="auto" w:sz="4" w:space="0"/>
              <w:left w:val="single" w:color="auto" w:sz="6" w:space="0"/>
              <w:bottom w:val="single" w:color="auto" w:sz="6" w:space="0"/>
              <w:right w:val="single" w:color="auto" w:sz="6" w:space="0"/>
            </w:tcBorders>
            <w:shd w:val="clear" w:color="auto" w:fill="auto"/>
            <w:vAlign w:val="center"/>
          </w:tcPr>
          <w:p w14:paraId="4E21EA57">
            <w:pPr>
              <w:autoSpaceDE w:val="0"/>
              <w:autoSpaceDN w:val="0"/>
              <w:adjustRightInd w:val="0"/>
              <w:spacing w:line="360" w:lineRule="auto"/>
              <w:jc w:val="center"/>
              <w:rPr>
                <w:rFonts w:hint="eastAsia" w:ascii="宋体" w:hAnsi="宋体" w:eastAsia="宋体" w:cs="宋体"/>
                <w:b/>
                <w:color w:val="auto"/>
                <w:sz w:val="24"/>
                <w:szCs w:val="24"/>
                <w:lang w:val="zh-CN"/>
              </w:rPr>
            </w:pPr>
            <w:r>
              <w:rPr>
                <w:rFonts w:hint="eastAsia" w:ascii="宋体" w:hAnsi="宋体" w:eastAsia="宋体" w:cs="宋体"/>
                <w:b/>
                <w:color w:val="auto"/>
                <w:kern w:val="0"/>
                <w:sz w:val="24"/>
                <w:szCs w:val="24"/>
                <w:lang w:val="zh-CN" w:bidi="ar"/>
              </w:rPr>
              <w:t>其他说明</w:t>
            </w:r>
          </w:p>
        </w:tc>
        <w:tc>
          <w:tcPr>
            <w:tcW w:w="7741" w:type="dxa"/>
            <w:tcBorders>
              <w:top w:val="single" w:color="auto" w:sz="4" w:space="0"/>
              <w:left w:val="single" w:color="auto" w:sz="6" w:space="0"/>
              <w:bottom w:val="single" w:color="auto" w:sz="6" w:space="0"/>
              <w:right w:val="single" w:color="auto" w:sz="6" w:space="0"/>
            </w:tcBorders>
            <w:shd w:val="clear" w:color="auto" w:fill="auto"/>
          </w:tcPr>
          <w:p w14:paraId="6F55845F">
            <w:pPr>
              <w:autoSpaceDE w:val="0"/>
              <w:autoSpaceDN w:val="0"/>
              <w:adjustRightInd w:val="0"/>
              <w:spacing w:line="360" w:lineRule="auto"/>
              <w:ind w:firstLine="2650" w:firstLineChars="1100"/>
              <w:jc w:val="left"/>
              <w:rPr>
                <w:rFonts w:hint="eastAsia" w:ascii="宋体" w:hAnsi="宋体" w:eastAsia="宋体" w:cs="宋体"/>
                <w:b/>
                <w:color w:val="auto"/>
                <w:sz w:val="24"/>
                <w:szCs w:val="24"/>
                <w:lang w:val="zh-CN"/>
              </w:rPr>
            </w:pPr>
          </w:p>
        </w:tc>
      </w:tr>
    </w:tbl>
    <w:p w14:paraId="0D7EC8B6">
      <w:pPr>
        <w:autoSpaceDE w:val="0"/>
        <w:autoSpaceDN w:val="0"/>
        <w:adjustRightInd w:val="0"/>
        <w:spacing w:line="360" w:lineRule="auto"/>
        <w:jc w:val="left"/>
        <w:rPr>
          <w:rFonts w:hint="eastAsia" w:ascii="宋体" w:hAnsi="宋体" w:eastAsia="宋体" w:cs="宋体"/>
          <w:color w:val="auto"/>
          <w:sz w:val="24"/>
          <w:szCs w:val="24"/>
          <w:lang w:val="zh-CN"/>
        </w:rPr>
      </w:pPr>
    </w:p>
    <w:p w14:paraId="12683C11">
      <w:pPr>
        <w:autoSpaceDE w:val="0"/>
        <w:autoSpaceDN w:val="0"/>
        <w:adjustRightInd w:val="0"/>
        <w:spacing w:line="360" w:lineRule="auto"/>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zh-CN" w:bidi="ar"/>
        </w:rPr>
        <w:t xml:space="preserve">磋商供应商公章：              </w:t>
      </w:r>
      <w:r>
        <w:rPr>
          <w:rFonts w:hint="eastAsia" w:ascii="宋体" w:hAnsi="宋体" w:eastAsia="宋体" w:cs="宋体"/>
          <w:color w:val="auto"/>
          <w:kern w:val="0"/>
          <w:sz w:val="24"/>
          <w:szCs w:val="24"/>
          <w:lang w:bidi="ar"/>
        </w:rPr>
        <w:t xml:space="preserve"> </w:t>
      </w:r>
      <w:r>
        <w:rPr>
          <w:rFonts w:hint="eastAsia" w:ascii="宋体" w:hAnsi="宋体" w:eastAsia="宋体" w:cs="宋体"/>
          <w:color w:val="auto"/>
          <w:kern w:val="0"/>
          <w:sz w:val="24"/>
          <w:szCs w:val="24"/>
          <w:lang w:val="en-US" w:eastAsia="zh-CN" w:bidi="ar"/>
        </w:rPr>
        <w:t xml:space="preserve">     </w:t>
      </w:r>
      <w:r>
        <w:rPr>
          <w:rFonts w:hint="eastAsia" w:ascii="宋体" w:hAnsi="宋体" w:eastAsia="宋体" w:cs="宋体"/>
          <w:color w:val="auto"/>
          <w:kern w:val="0"/>
          <w:sz w:val="24"/>
          <w:szCs w:val="24"/>
          <w:lang w:bidi="ar"/>
        </w:rPr>
        <w:t>法定代表人</w:t>
      </w:r>
      <w:r>
        <w:rPr>
          <w:rFonts w:hint="eastAsia" w:ascii="宋体" w:hAnsi="宋体" w:eastAsia="宋体" w:cs="宋体"/>
          <w:color w:val="auto"/>
          <w:kern w:val="0"/>
          <w:sz w:val="24"/>
          <w:szCs w:val="24"/>
          <w:lang w:eastAsia="zh-CN" w:bidi="ar"/>
        </w:rPr>
        <w:t>（单位负责人）</w:t>
      </w:r>
      <w:r>
        <w:rPr>
          <w:rFonts w:hint="eastAsia" w:ascii="宋体" w:hAnsi="宋体" w:eastAsia="宋体" w:cs="宋体"/>
          <w:color w:val="auto"/>
          <w:kern w:val="0"/>
          <w:sz w:val="24"/>
          <w:szCs w:val="24"/>
          <w:lang w:bidi="ar"/>
        </w:rPr>
        <w:t>或授权委托人</w:t>
      </w:r>
    </w:p>
    <w:p w14:paraId="24B20916">
      <w:pPr>
        <w:autoSpaceDE w:val="0"/>
        <w:autoSpaceDN w:val="0"/>
        <w:adjustRightInd w:val="0"/>
        <w:spacing w:line="360" w:lineRule="auto"/>
        <w:ind w:firstLine="6960" w:firstLineChars="2900"/>
        <w:jc w:val="left"/>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bidi="ar"/>
        </w:rPr>
        <w:t>（签字或盖章）：</w:t>
      </w:r>
    </w:p>
    <w:p w14:paraId="0FC29BB9">
      <w:pPr>
        <w:autoSpaceDE w:val="0"/>
        <w:autoSpaceDN w:val="0"/>
        <w:adjustRightInd w:val="0"/>
        <w:spacing w:line="360" w:lineRule="auto"/>
        <w:ind w:left="5550" w:firstLine="1920" w:firstLineChars="800"/>
        <w:jc w:val="left"/>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bidi="ar"/>
        </w:rPr>
        <w:t>年  月  日</w:t>
      </w:r>
    </w:p>
    <w:p w14:paraId="1FE82AAD">
      <w:pPr>
        <w:spacing w:before="156" w:beforeLines="50" w:after="156" w:afterLines="50" w:line="360" w:lineRule="auto"/>
        <w:jc w:val="left"/>
        <w:rPr>
          <w:rFonts w:hint="eastAsia" w:ascii="宋体" w:hAnsi="宋体" w:eastAsia="宋体" w:cs="宋体"/>
          <w:color w:val="auto"/>
          <w:sz w:val="24"/>
          <w:szCs w:val="24"/>
        </w:rPr>
      </w:pPr>
      <w:r>
        <w:rPr>
          <w:rFonts w:hint="eastAsia" w:ascii="宋体" w:hAnsi="宋体" w:eastAsia="宋体" w:cs="宋体"/>
          <w:b/>
          <w:color w:val="auto"/>
          <w:kern w:val="0"/>
          <w:sz w:val="24"/>
          <w:szCs w:val="24"/>
          <w:lang w:val="zh-CN" w:bidi="ar"/>
        </w:rPr>
        <w:t>注：本页&lt;最终报价书&gt;由磋商供应商在磋商现场依磋商情况填写，请加盖公章后带至磋商现场备填（不需装订在磋商响应文件内），</w:t>
      </w:r>
      <w:r>
        <w:rPr>
          <w:rFonts w:hint="eastAsia" w:ascii="宋体" w:hAnsi="宋体" w:eastAsia="宋体" w:cs="宋体"/>
          <w:b/>
          <w:color w:val="auto"/>
          <w:kern w:val="0"/>
          <w:sz w:val="24"/>
          <w:szCs w:val="24"/>
          <w:u w:val="single"/>
          <w:lang w:val="zh-CN" w:bidi="ar"/>
        </w:rPr>
        <w:t>该表供磋商现场报价使用，打印该空表用于现场最终报价</w:t>
      </w:r>
      <w:r>
        <w:rPr>
          <w:rFonts w:hint="eastAsia" w:ascii="宋体" w:hAnsi="宋体" w:eastAsia="宋体" w:cs="宋体"/>
          <w:b/>
          <w:color w:val="auto"/>
          <w:kern w:val="0"/>
          <w:sz w:val="24"/>
          <w:szCs w:val="24"/>
          <w:lang w:val="zh-CN" w:bidi="ar"/>
        </w:rPr>
        <w:t>。</w:t>
      </w:r>
      <w:r>
        <w:rPr>
          <w:rFonts w:hint="eastAsia" w:ascii="宋体" w:hAnsi="宋体" w:eastAsia="宋体" w:cs="宋体"/>
          <w:color w:val="auto"/>
          <w:kern w:val="0"/>
          <w:sz w:val="24"/>
          <w:szCs w:val="24"/>
          <w:lang w:val="zh-CN" w:bidi="ar"/>
        </w:rPr>
        <w:t>考虑投标报价的方便，磋商供应商在填写的最终承诺报价为合同总价，完成本项目所需费用均包含在合同总价内。</w:t>
      </w:r>
    </w:p>
    <w:p w14:paraId="146FD721">
      <w:pPr>
        <w:rPr>
          <w:color w:val="auto"/>
        </w:rPr>
      </w:pPr>
    </w:p>
    <w:p w14:paraId="31EC41CF">
      <w:pPr>
        <w:rPr>
          <w:color w:val="auto"/>
        </w:rPr>
      </w:pPr>
    </w:p>
    <w:sectPr>
      <w:type w:val="continuous"/>
      <w:pgSz w:w="11910" w:h="16850"/>
      <w:pgMar w:top="1280" w:right="970" w:bottom="1120" w:left="104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0000600000000000000"/>
    <w:charset w:val="86"/>
    <w:family w:val="auto"/>
    <w:pitch w:val="default"/>
    <w:sig w:usb0="800002BF" w:usb1="184F6CF8" w:usb2="00000012" w:usb3="00000000" w:csb0="00160001" w:csb1="1203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258B4">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AAB13">
                          <w:pPr>
                            <w:pStyle w:val="1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E0AAB13">
                    <w:pPr>
                      <w:pStyle w:val="1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50FF7"/>
    <w:multiLevelType w:val="singleLevel"/>
    <w:tmpl w:val="B4250FF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2Y4NDg5MmM2MWRiZDg0OGY0ODU2ZTZlMDkxYjAifQ=="/>
  </w:docVars>
  <w:rsids>
    <w:rsidRoot w:val="1C974AC2"/>
    <w:rsid w:val="1C974AC2"/>
    <w:rsid w:val="20DE357A"/>
    <w:rsid w:val="3869625C"/>
    <w:rsid w:val="3E247F32"/>
    <w:rsid w:val="6F2C4722"/>
    <w:rsid w:val="75FA5C7A"/>
    <w:rsid w:val="7B113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1"/>
    <w:basedOn w:val="1"/>
    <w:next w:val="1"/>
    <w:qFormat/>
    <w:uiPriority w:val="0"/>
    <w:pPr>
      <w:jc w:val="left"/>
      <w:outlineLvl w:val="0"/>
    </w:pPr>
    <w:rPr>
      <w:rFonts w:hint="eastAsia" w:ascii="黑体" w:hAnsi="宋体" w:eastAsia="黑体" w:cs="Times New Roman"/>
      <w:b/>
      <w:kern w:val="0"/>
      <w:sz w:val="32"/>
      <w:szCs w:val="32"/>
    </w:rPr>
  </w:style>
  <w:style w:type="paragraph" w:styleId="9">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jc w:val="left"/>
    </w:pPr>
    <w:rPr>
      <w:rFonts w:ascii="Calibri" w:hAnsi="Calibri" w:eastAsia="Calibri" w:cs="Times New Roman"/>
      <w:kern w:val="0"/>
      <w:sz w:val="22"/>
      <w:szCs w:val="22"/>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99"/>
    <w:pPr>
      <w:snapToGrid w:val="0"/>
    </w:pPr>
    <w:rPr>
      <w:rFonts w:ascii="Arial" w:hAnsi="Arial"/>
    </w:rPr>
  </w:style>
  <w:style w:type="paragraph" w:styleId="5">
    <w:name w:val="Body Text First Indent"/>
    <w:basedOn w:val="6"/>
    <w:next w:val="1"/>
    <w:qFormat/>
    <w:uiPriority w:val="0"/>
    <w:pPr>
      <w:autoSpaceDE w:val="0"/>
      <w:autoSpaceDN w:val="0"/>
      <w:adjustRightInd w:val="0"/>
      <w:spacing w:before="154" w:after="0" w:line="360" w:lineRule="auto"/>
      <w:ind w:left="102" w:right="-24" w:rightChars="-10" w:firstLine="425" w:firstLineChars="225"/>
    </w:pPr>
    <w:rPr>
      <w:rFonts w:ascii="Arial" w:hAnsi="Arial" w:eastAsia="仿宋_GB2312"/>
      <w:sz w:val="24"/>
      <w:szCs w:val="32"/>
    </w:rPr>
  </w:style>
  <w:style w:type="paragraph" w:styleId="6">
    <w:name w:val="Body Text"/>
    <w:basedOn w:val="1"/>
    <w:next w:val="7"/>
    <w:qFormat/>
    <w:uiPriority w:val="0"/>
    <w:pPr>
      <w:spacing w:after="120"/>
      <w:jc w:val="left"/>
    </w:pPr>
    <w:rPr>
      <w:rFonts w:ascii="Calibri" w:hAnsi="Calibri" w:eastAsia="Calibri" w:cs="Times New Roman"/>
      <w:kern w:val="0"/>
      <w:sz w:val="22"/>
      <w:szCs w:val="22"/>
    </w:rPr>
  </w:style>
  <w:style w:type="paragraph" w:styleId="7">
    <w:name w:val="toc 2"/>
    <w:basedOn w:val="1"/>
    <w:next w:val="1"/>
    <w:qFormat/>
    <w:uiPriority w:val="39"/>
    <w:pPr>
      <w:ind w:left="210"/>
      <w:jc w:val="left"/>
    </w:pPr>
    <w:rPr>
      <w:smallCaps/>
      <w:sz w:val="28"/>
    </w:rPr>
  </w:style>
  <w:style w:type="paragraph" w:styleId="10">
    <w:name w:val="Normal Indent"/>
    <w:basedOn w:val="1"/>
    <w:qFormat/>
    <w:uiPriority w:val="0"/>
    <w:pPr>
      <w:widowControl/>
      <w:ind w:firstLine="420"/>
      <w:jc w:val="left"/>
    </w:pPr>
    <w:rPr>
      <w:rFonts w:ascii="Calibri" w:hAnsi="Calibri" w:eastAsia="Calibri" w:cs="Times New Roman"/>
      <w:kern w:val="0"/>
      <w:sz w:val="20"/>
      <w:szCs w:val="20"/>
    </w:rPr>
  </w:style>
  <w:style w:type="paragraph" w:styleId="11">
    <w:name w:val="List 2"/>
    <w:basedOn w:val="1"/>
    <w:qFormat/>
    <w:uiPriority w:val="0"/>
    <w:pPr>
      <w:ind w:left="100" w:leftChars="200" w:hanging="200" w:hangingChars="200"/>
      <w:jc w:val="left"/>
    </w:pPr>
    <w:rPr>
      <w:rFonts w:ascii="Times New Roman" w:hAnsi="Times New Roman" w:eastAsia="Calibri" w:cs="Times New Roman"/>
      <w:kern w:val="0"/>
      <w:sz w:val="22"/>
    </w:rPr>
  </w:style>
  <w:style w:type="paragraph" w:styleId="12">
    <w:name w:val="footer"/>
    <w:basedOn w:val="1"/>
    <w:qFormat/>
    <w:uiPriority w:val="0"/>
    <w:pPr>
      <w:tabs>
        <w:tab w:val="center" w:pos="4153"/>
        <w:tab w:val="right" w:pos="8306"/>
      </w:tabs>
      <w:snapToGrid w:val="0"/>
      <w:jc w:val="left"/>
    </w:pPr>
    <w:rPr>
      <w:sz w:val="18"/>
    </w:rPr>
  </w:style>
  <w:style w:type="paragraph" w:styleId="13">
    <w:name w:val="toc 1"/>
    <w:basedOn w:val="1"/>
    <w:next w:val="1"/>
    <w:qFormat/>
    <w:uiPriority w:val="0"/>
    <w:pPr>
      <w:spacing w:before="116"/>
      <w:ind w:left="18"/>
      <w:jc w:val="left"/>
    </w:pPr>
    <w:rPr>
      <w:rFonts w:hint="eastAsia" w:ascii="宋体" w:hAnsi="宋体" w:eastAsia="宋体" w:cs="Times New Roman"/>
      <w:kern w:val="0"/>
      <w:sz w:val="28"/>
      <w:szCs w:val="28"/>
    </w:rPr>
  </w:style>
  <w:style w:type="paragraph" w:styleId="14">
    <w:name w:val="Normal (Web)"/>
    <w:basedOn w:val="1"/>
    <w:qFormat/>
    <w:uiPriority w:val="0"/>
    <w:pPr>
      <w:widowControl/>
      <w:spacing w:beforeAutospacing="1" w:afterAutospacing="1"/>
      <w:jc w:val="left"/>
    </w:pPr>
    <w:rPr>
      <w:rFonts w:ascii="Arial Unicode MS" w:hAnsi="Arial Unicode MS" w:eastAsia="Calibri" w:cs="Times New Roman"/>
      <w:kern w:val="0"/>
      <w:sz w:val="24"/>
      <w:szCs w:val="2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BodyText"/>
    <w:basedOn w:val="1"/>
    <w:next w:val="19"/>
    <w:qFormat/>
    <w:uiPriority w:val="0"/>
    <w:pPr>
      <w:jc w:val="both"/>
      <w:textAlignment w:val="baseline"/>
    </w:pPr>
    <w:rPr>
      <w:rFonts w:ascii="宋体" w:hAnsi="Arial"/>
      <w:kern w:val="2"/>
      <w:sz w:val="28"/>
      <w:szCs w:val="22"/>
      <w:lang w:val="en-US" w:eastAsia="zh-CN" w:bidi="ar-SA"/>
    </w:rPr>
  </w:style>
  <w:style w:type="paragraph" w:customStyle="1" w:styleId="19">
    <w:name w:val="TOC2"/>
    <w:basedOn w:val="1"/>
    <w:next w:val="1"/>
    <w:qFormat/>
    <w:uiPriority w:val="0"/>
    <w:pPr>
      <w:ind w:left="210"/>
      <w:jc w:val="left"/>
      <w:textAlignment w:val="baseline"/>
    </w:pPr>
    <w:rPr>
      <w:smallCaps/>
      <w:kern w:val="2"/>
      <w:sz w:val="28"/>
      <w:szCs w:val="24"/>
      <w:lang w:val="en-US" w:eastAsia="zh-CN" w:bidi="ar-SA"/>
    </w:rPr>
  </w:style>
  <w:style w:type="character" w:customStyle="1" w:styleId="20">
    <w:name w:val="NormalCharacter"/>
    <w:semiHidden/>
    <w:qFormat/>
    <w:uiPriority w:val="0"/>
    <w:rPr>
      <w:rFonts w:ascii="Calibri" w:hAnsi="Calibri"/>
      <w:kern w:val="2"/>
      <w:sz w:val="21"/>
      <w:szCs w:val="21"/>
      <w:lang w:val="en-US" w:eastAsia="zh-CN" w:bidi="ar-SA"/>
    </w:rPr>
  </w:style>
  <w:style w:type="paragraph" w:customStyle="1" w:styleId="21">
    <w:name w:val="xl31"/>
    <w:basedOn w:val="1"/>
    <w:qFormat/>
    <w:uiPriority w:val="0"/>
    <w:pPr>
      <w:widowControl/>
      <w:spacing w:before="100" w:beforeAutospacing="1" w:after="100" w:afterAutospacing="1"/>
      <w:jc w:val="center"/>
    </w:pPr>
    <w:rPr>
      <w:b/>
      <w:bCs/>
      <w:kern w:val="0"/>
      <w:sz w:val="28"/>
      <w:szCs w:val="28"/>
    </w:rPr>
  </w:style>
  <w:style w:type="paragraph" w:customStyle="1" w:styleId="22">
    <w:name w:val="Table Paragraph"/>
    <w:basedOn w:val="1"/>
    <w:qFormat/>
    <w:uiPriority w:val="0"/>
    <w:pPr>
      <w:jc w:val="left"/>
    </w:pPr>
    <w:rPr>
      <w:rFonts w:ascii="Calibri" w:hAnsi="Calibri" w:eastAsia="Calibri" w:cs="Times New Roman"/>
      <w:kern w:val="0"/>
      <w:sz w:val="22"/>
      <w:szCs w:val="22"/>
    </w:rPr>
  </w:style>
  <w:style w:type="paragraph" w:customStyle="1" w:styleId="23">
    <w:name w:val="样式 正文首行缩进 2 + 首行缩进:  2 字符"/>
    <w:basedOn w:val="1"/>
    <w:next w:val="9"/>
    <w:qFormat/>
    <w:uiPriority w:val="0"/>
    <w:pPr>
      <w:ind w:firstLine="480"/>
    </w:pPr>
    <w:rPr>
      <w:rFonts w:ascii="Times New Roman" w:hAnsi="Times New Roman" w:eastAsia="宋体"/>
      <w:szCs w:val="21"/>
    </w:rPr>
  </w:style>
  <w:style w:type="paragraph" w:customStyle="1" w:styleId="24">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customStyle="1" w:styleId="25">
    <w:name w:val="正文_1"/>
    <w:basedOn w:val="1"/>
    <w:qFormat/>
    <w:uiPriority w:val="0"/>
    <w:rPr>
      <w:rFonts w:ascii="Times New Roman" w:hAnsi="Times New Roman" w:eastAsia="宋体" w:cs="Times New Roman"/>
      <w:szCs w:val="20"/>
    </w:rPr>
  </w:style>
  <w:style w:type="paragraph" w:customStyle="1" w:styleId="26">
    <w:name w:val="_Style 3"/>
    <w:basedOn w:val="1"/>
    <w:next w:val="1"/>
    <w:qFormat/>
    <w:uiPriority w:val="0"/>
    <w:pPr>
      <w:pBdr>
        <w:bottom w:val="single" w:color="auto" w:sz="6" w:space="1"/>
      </w:pBdr>
      <w:jc w:val="center"/>
    </w:pPr>
    <w:rPr>
      <w:rFonts w:ascii="Arial" w:hAnsi="Calibri" w:eastAsia="宋体" w:cs="Times New Roman"/>
      <w:vanish/>
      <w:kern w:val="0"/>
      <w:sz w:val="16"/>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17190</Words>
  <Characters>18100</Characters>
  <Lines>0</Lines>
  <Paragraphs>0</Paragraphs>
  <TotalTime>41</TotalTime>
  <ScaleCrop>false</ScaleCrop>
  <LinksUpToDate>false</LinksUpToDate>
  <CharactersWithSpaces>19011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2025-01-10T08:13:00Z</dcterms:created>
  <dc:creator>Hhgg</dc:creator>
  <cp:lastModifiedBy>Hhgg</cp:lastModifiedBy>
  <dcterms:modified xsi:type="dcterms:W3CDTF">2025-01-16T08:39:08Z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0160F986DBE34AACA0F26EC56445248D_13</vt:lpwstr>
  </property>
  <property fmtid="{D5CDD505-2E9C-101B-9397-08002B2CF9AE}" pid="4" name="KSOTemplateDocerSaveRecord">
    <vt:lpwstr>eyJoZGlkIjoiODk0MTQwMmQyOTBhYTkzNmU1Yjg4MDI5YWUxMTU3MGQiLCJ1c2VySWQiOiI1NzY5MjczMjkifQ==</vt:lpwstr>
  </property>
</Properties>
</file>